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A8555" w14:textId="6EAA0402" w:rsidR="008342D2" w:rsidRPr="002F1962" w:rsidRDefault="008342D2" w:rsidP="008342D2">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F91D05">
        <w:rPr>
          <w:rFonts w:ascii="Arial" w:hAnsi="Arial" w:cs="Arial"/>
          <w:b/>
          <w:sz w:val="24"/>
          <w:lang w:val="en-US"/>
        </w:rPr>
        <w:t xml:space="preserve">GPP TSG RAN WG1 </w:t>
      </w:r>
      <w:r w:rsidR="002F1962">
        <w:rPr>
          <w:rFonts w:ascii="Arial" w:hAnsi="Arial" w:cs="Arial"/>
          <w:b/>
          <w:sz w:val="24"/>
          <w:lang w:val="en-US"/>
        </w:rPr>
        <w:t>Meeting #96</w:t>
      </w:r>
      <w:r w:rsidR="002F1962">
        <w:rPr>
          <w:rFonts w:ascii="Arial" w:hAnsi="Arial" w:cs="Arial"/>
          <w:b/>
          <w:color w:val="FF0000"/>
          <w:sz w:val="24"/>
        </w:rPr>
        <w:t xml:space="preserve">                                                         </w:t>
      </w:r>
      <w:r w:rsidR="002F1962">
        <w:rPr>
          <w:rFonts w:ascii="Arial" w:hAnsi="Arial" w:cs="Arial"/>
          <w:b/>
          <w:sz w:val="24"/>
        </w:rPr>
        <w:tab/>
        <w:t xml:space="preserve">            </w:t>
      </w:r>
      <w:r w:rsidR="002F1962">
        <w:rPr>
          <w:rFonts w:ascii="Arial" w:hAnsi="Arial" w:cs="Arial"/>
          <w:b/>
          <w:color w:val="000000" w:themeColor="text1"/>
          <w:sz w:val="24"/>
        </w:rPr>
        <w:t>R1-</w:t>
      </w:r>
      <w:r w:rsidR="00557C4D">
        <w:rPr>
          <w:rFonts w:ascii="Arial" w:hAnsi="Arial" w:cs="Arial"/>
          <w:b/>
          <w:color w:val="000000" w:themeColor="text1"/>
          <w:sz w:val="24"/>
        </w:rPr>
        <w:t>1902474</w:t>
      </w:r>
    </w:p>
    <w:p w14:paraId="77E4B1F8" w14:textId="246DA767" w:rsidR="006D79FB" w:rsidRPr="002F1962" w:rsidRDefault="002F1962" w:rsidP="006D79FB">
      <w:pPr>
        <w:pStyle w:val="Header"/>
        <w:tabs>
          <w:tab w:val="right" w:pos="8280"/>
          <w:tab w:val="right" w:pos="9781"/>
        </w:tabs>
        <w:ind w:right="-58"/>
        <w:rPr>
          <w:rFonts w:cs="Arial"/>
          <w:noProof w:val="0"/>
          <w:sz w:val="24"/>
        </w:rPr>
      </w:pPr>
      <w:r w:rsidRPr="002F1962">
        <w:rPr>
          <w:rFonts w:cs="Arial"/>
          <w:noProof w:val="0"/>
          <w:sz w:val="24"/>
        </w:rPr>
        <w:t>Greece, February 25th – March 1st, 2019 </w:t>
      </w:r>
    </w:p>
    <w:p w14:paraId="1DBBE859" w14:textId="77777777" w:rsidR="002F1962" w:rsidRPr="008342D2" w:rsidRDefault="002F1962" w:rsidP="006D79FB">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73A5CFC8"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w:t>
      </w:r>
      <w:bookmarkStart w:id="1" w:name="_GoBack"/>
      <w:bookmarkEnd w:id="1"/>
      <w:r w:rsidR="00A50464" w:rsidRPr="00A50464">
        <w:rPr>
          <w:rFonts w:cs="Arial"/>
          <w:noProof w:val="0"/>
          <w:snapToGrid w:val="0"/>
          <w:kern w:val="2"/>
          <w:sz w:val="24"/>
          <w:lang w:eastAsia="ko-KR"/>
        </w:rPr>
        <w:t>ncements to configured grants for NR-unlicensed</w:t>
      </w:r>
    </w:p>
    <w:p w14:paraId="0EC8770F" w14:textId="596F7D55" w:rsidR="006D79FB" w:rsidRDefault="006D79FB" w:rsidP="00A50464">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408A9273" w14:textId="2A3E49B2" w:rsidR="008F5FAD" w:rsidRDefault="00A371F9" w:rsidP="008F5FAD">
      <w:r>
        <w:t>In 3GPP TSG RAN Meeting #82, a new WID on NR-based access to Unlicensed Spectrum (RP-182878) [1] was approved.</w:t>
      </w:r>
      <w:r w:rsidR="008F5FAD" w:rsidRPr="008F5FAD">
        <w:t xml:space="preserve"> </w:t>
      </w:r>
      <w:r w:rsidR="008F5FAD">
        <w:t>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8F5FAD" w14:paraId="050294C3" w14:textId="77777777" w:rsidTr="008F5FAD">
        <w:tc>
          <w:tcPr>
            <w:tcW w:w="9919" w:type="dxa"/>
            <w:tcBorders>
              <w:top w:val="single" w:sz="4" w:space="0" w:color="auto"/>
              <w:left w:val="single" w:sz="4" w:space="0" w:color="auto"/>
              <w:bottom w:val="single" w:sz="4" w:space="0" w:color="auto"/>
              <w:right w:val="single" w:sz="4" w:space="0" w:color="auto"/>
            </w:tcBorders>
            <w:hideMark/>
          </w:tcPr>
          <w:p w14:paraId="6DEDA198" w14:textId="77777777" w:rsidR="008F5FAD" w:rsidRDefault="008F5FAD">
            <w:pPr>
              <w:pStyle w:val="B1"/>
              <w:rPr>
                <w:i/>
                <w:lang w:eastAsia="ja-JP"/>
              </w:rPr>
            </w:pPr>
            <w:r>
              <w:rPr>
                <w:i/>
                <w:lang w:eastAsia="ja-JP"/>
              </w:rPr>
              <w:t>Physical layer procedure(s) including [RAN1, RAN2]:</w:t>
            </w:r>
          </w:p>
          <w:p w14:paraId="2458FD85" w14:textId="08D7F920" w:rsidR="008F5FAD" w:rsidRPr="00903716" w:rsidRDefault="008F5FAD" w:rsidP="008F5FAD">
            <w:pPr>
              <w:pStyle w:val="B2"/>
              <w:rPr>
                <w:lang w:eastAsia="ja-JP"/>
              </w:rPr>
            </w:pPr>
            <w:r>
              <w:rPr>
                <w:i/>
                <w:lang w:eastAsia="ja-JP"/>
              </w:rPr>
              <w:t xml:space="preserve">- </w:t>
            </w:r>
            <w:r>
              <w:rPr>
                <w:lang w:eastAsia="ja-JP"/>
              </w:rPr>
              <w:t>Configured Grant operation: NR Type-1 and Type-2 configured grant mechanisms are the baseline for NR-U operation with modifications in line with agreements during the study phase (NR-U TR section 7.2.1.3.4). (RAN1)</w:t>
            </w:r>
          </w:p>
        </w:tc>
      </w:tr>
    </w:tbl>
    <w:p w14:paraId="5590D734" w14:textId="6C9F175C" w:rsidR="0061200C" w:rsidRDefault="00A371F9" w:rsidP="00582048">
      <w:pPr>
        <w:spacing w:before="180" w:after="120"/>
        <w:ind w:firstLine="288"/>
        <w:jc w:val="both"/>
      </w:pPr>
      <w:r>
        <w:t xml:space="preserve"> </w:t>
      </w:r>
      <w:r w:rsidR="008F5FAD">
        <w:t xml:space="preserve">In this context, the following agreements related to configured grant operation were made during the previous RAN1 </w:t>
      </w:r>
      <w:r w:rsidR="008F5FAD">
        <w:rPr>
          <w:kern w:val="2"/>
          <w:lang w:val="en-US" w:eastAsia="ko-KR"/>
        </w:rPr>
        <w:t xml:space="preserve">#AH 1901 </w:t>
      </w:r>
      <w:r w:rsidR="008F5FAD">
        <w:t>meeting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4EFA98EF" w14:textId="73DF4E46" w:rsidR="008F5FAD" w:rsidRDefault="008F5FAD" w:rsidP="00903716">
            <w:pPr>
              <w:overflowPunct/>
              <w:autoSpaceDE/>
              <w:autoSpaceDN/>
              <w:adjustRightInd/>
              <w:spacing w:after="0"/>
              <w:textAlignment w:val="auto"/>
              <w:rPr>
                <w:lang w:val="en-US" w:eastAsia="x-none"/>
              </w:rPr>
            </w:pPr>
          </w:p>
          <w:p w14:paraId="28A5419A" w14:textId="77777777" w:rsidR="0045778E" w:rsidRDefault="0045778E" w:rsidP="0045778E">
            <w:pPr>
              <w:rPr>
                <w:rFonts w:cs="Times"/>
                <w:lang w:val="en-US" w:eastAsia="x-none"/>
              </w:rPr>
            </w:pPr>
            <w:r>
              <w:rPr>
                <w:rFonts w:cs="Times"/>
                <w:highlight w:val="green"/>
                <w:lang w:val="en-US" w:eastAsia="x-none"/>
              </w:rPr>
              <w:t>Agreement:</w:t>
            </w:r>
          </w:p>
          <w:p w14:paraId="66D28277" w14:textId="77777777" w:rsidR="0045778E" w:rsidRDefault="0045778E" w:rsidP="0045778E">
            <w:pPr>
              <w:rPr>
                <w:rFonts w:cs="Times"/>
                <w:lang w:val="en-US" w:eastAsia="x-none"/>
              </w:rPr>
            </w:pPr>
            <w:r>
              <w:rPr>
                <w:rFonts w:cs="Times"/>
                <w:lang w:val="en-US" w:eastAsia="x-none"/>
              </w:rPr>
              <w:t>For configured grant resource configuration in time domain, the following alternatives are to be studied with more detailed proposal and analysis, strive to down-select in RAN1#96:</w:t>
            </w:r>
          </w:p>
          <w:p w14:paraId="34E4010C"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1: Bitmap based approach as baseline with potential enhancement</w:t>
            </w:r>
          </w:p>
          <w:p w14:paraId="2A08FFD4"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364B3305"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2: NR Rel-15 based time domain resource allocation approach as baseline with potential enhancement</w:t>
            </w:r>
          </w:p>
          <w:p w14:paraId="7DF119D5"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25790A79" w14:textId="77777777" w:rsidR="0045778E" w:rsidRDefault="0045778E" w:rsidP="0045778E">
            <w:pPr>
              <w:rPr>
                <w:rFonts w:cs="Times"/>
                <w:lang w:eastAsia="x-none"/>
              </w:rPr>
            </w:pPr>
          </w:p>
          <w:p w14:paraId="4BC07C4D" w14:textId="77777777" w:rsidR="0045778E" w:rsidRDefault="0045778E" w:rsidP="0045778E">
            <w:pPr>
              <w:rPr>
                <w:rFonts w:cs="Times"/>
                <w:lang w:val="en-US" w:eastAsia="x-none"/>
              </w:rPr>
            </w:pPr>
            <w:r>
              <w:rPr>
                <w:rFonts w:cs="Times"/>
                <w:highlight w:val="green"/>
                <w:lang w:val="en-US" w:eastAsia="x-none"/>
              </w:rPr>
              <w:t>Agreement:</w:t>
            </w:r>
          </w:p>
          <w:p w14:paraId="326D6B2B"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 xml:space="preserve">Support multiple UE starting time offsets with sub-symbol granularity with </w:t>
            </w:r>
            <w:proofErr w:type="spellStart"/>
            <w:r>
              <w:rPr>
                <w:rFonts w:cs="Times"/>
                <w:lang w:val="en-US" w:eastAsia="x-none"/>
              </w:rPr>
              <w:t>FeLAA</w:t>
            </w:r>
            <w:proofErr w:type="spellEnd"/>
            <w:r>
              <w:rPr>
                <w:rFonts w:cs="Times"/>
                <w:lang w:val="en-US" w:eastAsia="x-none"/>
              </w:rPr>
              <w:t xml:space="preserve"> AUL approach as the baseline</w:t>
            </w:r>
          </w:p>
          <w:p w14:paraId="2AB51841"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FFS: Enhancements specific to NRU</w:t>
            </w:r>
          </w:p>
          <w:p w14:paraId="007041F8"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Companies are encouraged to provide views and analysis on the following issues:</w:t>
            </w:r>
          </w:p>
          <w:p w14:paraId="6D9F7E17"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to support allowing the UE to start transmission later than the starting symbol as indicated in configured grant based on LBT outcome</w:t>
            </w:r>
          </w:p>
          <w:p w14:paraId="1AB51EA3" w14:textId="77777777" w:rsidR="0045778E" w:rsidRDefault="0045778E" w:rsidP="0045778E">
            <w:pPr>
              <w:numPr>
                <w:ilvl w:val="2"/>
                <w:numId w:val="49"/>
              </w:numPr>
              <w:overflowPunct/>
              <w:autoSpaceDE/>
              <w:autoSpaceDN/>
              <w:adjustRightInd/>
              <w:spacing w:after="0"/>
              <w:textAlignment w:val="auto"/>
              <w:rPr>
                <w:rFonts w:cs="Times"/>
                <w:lang w:val="en-US" w:eastAsia="x-none"/>
              </w:rPr>
            </w:pPr>
            <w:r>
              <w:rPr>
                <w:rFonts w:cs="Times"/>
                <w:lang w:val="en-US" w:eastAsia="x-none"/>
              </w:rPr>
              <w:t>If yes, multiple starting positions within a slot for a configured grant configuration;</w:t>
            </w:r>
          </w:p>
          <w:p w14:paraId="31650FFC"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1: subset of symbols</w:t>
            </w:r>
          </w:p>
          <w:p w14:paraId="0D22F5F1"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2: any symbol</w:t>
            </w:r>
          </w:p>
          <w:p w14:paraId="1141C54B"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gNB knowledge of starting symbol, whether UE indicates to gNB</w:t>
            </w:r>
          </w:p>
          <w:p w14:paraId="233A7E34"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signaling details</w:t>
            </w:r>
          </w:p>
          <w:p w14:paraId="16084DF6"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whether similar design for scheduled grant and configured grant</w:t>
            </w:r>
          </w:p>
          <w:p w14:paraId="57A38B44"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ending symbol can be punctured</w:t>
            </w:r>
          </w:p>
          <w:p w14:paraId="382292AF"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position of the ending symbol can be shifted depending on the starting position due to LBT procedures</w:t>
            </w:r>
          </w:p>
          <w:p w14:paraId="21621B64" w14:textId="77777777" w:rsidR="0045778E" w:rsidRDefault="0045778E" w:rsidP="0045778E">
            <w:pPr>
              <w:rPr>
                <w:rFonts w:cs="Times"/>
                <w:lang w:eastAsia="x-none"/>
              </w:rPr>
            </w:pPr>
          </w:p>
          <w:p w14:paraId="4BC1A0AC" w14:textId="77777777" w:rsidR="0045778E" w:rsidRDefault="0045778E" w:rsidP="0045778E">
            <w:pPr>
              <w:rPr>
                <w:rFonts w:cs="Times"/>
                <w:u w:val="single"/>
                <w:lang w:eastAsia="x-none"/>
              </w:rPr>
            </w:pPr>
            <w:r>
              <w:rPr>
                <w:rFonts w:cs="Times"/>
                <w:u w:val="single"/>
                <w:lang w:eastAsia="x-none"/>
              </w:rPr>
              <w:lastRenderedPageBreak/>
              <w:t>Conclusion:</w:t>
            </w:r>
          </w:p>
          <w:p w14:paraId="5E3DBC0D" w14:textId="77777777" w:rsidR="0045778E" w:rsidRDefault="0045778E" w:rsidP="0045778E">
            <w:pPr>
              <w:rPr>
                <w:rFonts w:cs="Times"/>
                <w:lang w:val="en-US" w:eastAsia="x-none"/>
              </w:rPr>
            </w:pPr>
            <w:r>
              <w:rPr>
                <w:rFonts w:cs="Times"/>
                <w:lang w:val="en-US" w:eastAsia="x-none"/>
              </w:rPr>
              <w:t xml:space="preserve">The following aspects should be discussed further as part of the channel access discussions </w:t>
            </w:r>
          </w:p>
          <w:p w14:paraId="01642933"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Contention window adjustment</w:t>
            </w:r>
          </w:p>
          <w:p w14:paraId="7A8D4145"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180DF9AB" w14:textId="77777777" w:rsidR="0045778E" w:rsidRDefault="0045778E" w:rsidP="0045778E">
            <w:pPr>
              <w:rPr>
                <w:rFonts w:cs="Times"/>
                <w:lang w:val="en-US" w:eastAsia="x-none"/>
              </w:rPr>
            </w:pPr>
          </w:p>
          <w:p w14:paraId="6B2FCF0A" w14:textId="77777777" w:rsidR="0045778E" w:rsidRDefault="0045778E" w:rsidP="0045778E">
            <w:pPr>
              <w:rPr>
                <w:rFonts w:cs="Times"/>
                <w:lang w:eastAsia="x-none"/>
              </w:rPr>
            </w:pPr>
            <w:r>
              <w:rPr>
                <w:rFonts w:cs="Times"/>
                <w:highlight w:val="green"/>
                <w:lang w:eastAsia="x-none"/>
              </w:rPr>
              <w:t>Agreement:</w:t>
            </w:r>
          </w:p>
          <w:p w14:paraId="24269C22" w14:textId="77777777" w:rsidR="0045778E" w:rsidRDefault="0045778E" w:rsidP="0045778E">
            <w:pPr>
              <w:rPr>
                <w:rFonts w:cs="Times"/>
                <w:lang w:eastAsia="x-none"/>
              </w:rPr>
            </w:pPr>
            <w:r>
              <w:rPr>
                <w:rFonts w:cs="Times"/>
                <w:lang w:eastAsia="x-none"/>
              </w:rPr>
              <w:t>CG-UCI should at least include the following information:</w:t>
            </w:r>
          </w:p>
          <w:p w14:paraId="78409499" w14:textId="77777777" w:rsidR="0045778E" w:rsidRDefault="0045778E" w:rsidP="0045778E">
            <w:pPr>
              <w:numPr>
                <w:ilvl w:val="0"/>
                <w:numId w:val="51"/>
              </w:numPr>
              <w:overflowPunct/>
              <w:autoSpaceDE/>
              <w:autoSpaceDN/>
              <w:adjustRightInd/>
              <w:spacing w:after="0"/>
              <w:textAlignment w:val="auto"/>
              <w:rPr>
                <w:rFonts w:cs="Times"/>
                <w:lang w:eastAsia="x-none"/>
              </w:rPr>
            </w:pPr>
            <w:r>
              <w:rPr>
                <w:rFonts w:cs="Times"/>
                <w:lang w:eastAsia="x-none"/>
              </w:rPr>
              <w:t>HARQ ID</w:t>
            </w:r>
          </w:p>
          <w:p w14:paraId="6091A006" w14:textId="77777777" w:rsidR="0045778E" w:rsidRDefault="0045778E" w:rsidP="0045778E">
            <w:pPr>
              <w:numPr>
                <w:ilvl w:val="0"/>
                <w:numId w:val="51"/>
              </w:numPr>
              <w:overflowPunct/>
              <w:autoSpaceDE/>
              <w:autoSpaceDN/>
              <w:adjustRightInd/>
              <w:spacing w:after="0"/>
              <w:textAlignment w:val="auto"/>
              <w:rPr>
                <w:rFonts w:cs="Times"/>
                <w:lang w:eastAsia="x-none"/>
              </w:rPr>
            </w:pPr>
            <w:r>
              <w:rPr>
                <w:rFonts w:cs="Times"/>
                <w:lang w:eastAsia="x-none"/>
              </w:rPr>
              <w:t>NDI</w:t>
            </w:r>
          </w:p>
          <w:p w14:paraId="4DB4FC7E" w14:textId="77777777" w:rsidR="0045778E" w:rsidRDefault="0045778E" w:rsidP="0045778E">
            <w:pPr>
              <w:numPr>
                <w:ilvl w:val="0"/>
                <w:numId w:val="51"/>
              </w:numPr>
              <w:overflowPunct/>
              <w:autoSpaceDE/>
              <w:autoSpaceDN/>
              <w:adjustRightInd/>
              <w:spacing w:after="0"/>
              <w:textAlignment w:val="auto"/>
              <w:rPr>
                <w:rFonts w:cs="Times"/>
                <w:lang w:eastAsia="x-none"/>
              </w:rPr>
            </w:pPr>
            <w:r>
              <w:rPr>
                <w:rFonts w:cs="Times"/>
                <w:lang w:eastAsia="x-none"/>
              </w:rPr>
              <w:t>RV</w:t>
            </w:r>
          </w:p>
          <w:p w14:paraId="33474058" w14:textId="77777777" w:rsidR="0045778E" w:rsidRDefault="0045778E" w:rsidP="0045778E">
            <w:pPr>
              <w:numPr>
                <w:ilvl w:val="0"/>
                <w:numId w:val="51"/>
              </w:numPr>
              <w:overflowPunct/>
              <w:autoSpaceDE/>
              <w:autoSpaceDN/>
              <w:adjustRightInd/>
              <w:spacing w:after="0"/>
              <w:textAlignment w:val="auto"/>
              <w:rPr>
                <w:rFonts w:cs="Times"/>
                <w:lang w:eastAsia="x-none"/>
              </w:rPr>
            </w:pPr>
            <w:r>
              <w:rPr>
                <w:rFonts w:cs="Times"/>
                <w:lang w:eastAsia="x-none"/>
              </w:rPr>
              <w:t>COT sharing information, FFS details</w:t>
            </w:r>
          </w:p>
          <w:p w14:paraId="2966D669" w14:textId="7B0E4D20" w:rsidR="008F5FAD" w:rsidRPr="00903716" w:rsidRDefault="0045778E" w:rsidP="00903716">
            <w:pPr>
              <w:numPr>
                <w:ilvl w:val="0"/>
                <w:numId w:val="51"/>
              </w:numPr>
              <w:overflowPunct/>
              <w:autoSpaceDE/>
              <w:autoSpaceDN/>
              <w:adjustRightInd/>
              <w:spacing w:after="0"/>
              <w:textAlignment w:val="auto"/>
              <w:rPr>
                <w:rFonts w:cs="Times"/>
                <w:lang w:eastAsia="x-none"/>
              </w:rPr>
            </w:pPr>
            <w:r>
              <w:rPr>
                <w:rFonts w:cs="Times"/>
                <w:lang w:eastAsia="x-none"/>
              </w:rPr>
              <w:t>FFS: other information including UE ID</w:t>
            </w:r>
          </w:p>
        </w:tc>
      </w:tr>
    </w:tbl>
    <w:p w14:paraId="5E988447" w14:textId="77777777" w:rsidR="00C26E40" w:rsidRDefault="00C26E40" w:rsidP="00DF7219">
      <w:pPr>
        <w:spacing w:after="0"/>
        <w:jc w:val="both"/>
      </w:pPr>
    </w:p>
    <w:p w14:paraId="6D8B1954" w14:textId="2A17B24C" w:rsidR="0061200C" w:rsidRDefault="0061200C" w:rsidP="00DF7219">
      <w:pPr>
        <w:spacing w:after="0"/>
        <w:jc w:val="both"/>
      </w:pPr>
      <w:r>
        <w:t xml:space="preserve">In the context of the agreements provided above, in this contribution we will discuss </w:t>
      </w:r>
      <w:r w:rsidR="00C5128E">
        <w:t>the enhancements for support of the configured grant operation for NR in the unlicensed spectrum.</w:t>
      </w:r>
    </w:p>
    <w:p w14:paraId="0C579AA3" w14:textId="77777777" w:rsidR="005E1C63" w:rsidRDefault="005E1C63" w:rsidP="00DF7219">
      <w:pPr>
        <w:spacing w:after="0"/>
        <w:jc w:val="both"/>
      </w:pPr>
    </w:p>
    <w:p w14:paraId="52543D2A" w14:textId="78C57BE5" w:rsidR="00FB19B2" w:rsidRPr="00D609FD" w:rsidRDefault="0060614F" w:rsidP="00D609FD">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5F22DEB" w14:textId="08DD864D" w:rsidR="00D609FD" w:rsidRPr="00D609FD" w:rsidRDefault="00D609FD" w:rsidP="00D609FD">
      <w:pPr>
        <w:pStyle w:val="Heading2"/>
        <w:rPr>
          <w:b/>
          <w:sz w:val="24"/>
          <w:szCs w:val="24"/>
        </w:rPr>
      </w:pPr>
      <w:r w:rsidRPr="00D609FD">
        <w:rPr>
          <w:b/>
          <w:sz w:val="24"/>
          <w:szCs w:val="24"/>
        </w:rPr>
        <w:t>2.1 Time-Domain Allocation</w:t>
      </w:r>
    </w:p>
    <w:p w14:paraId="66BC158B" w14:textId="3575E169" w:rsidR="00AA6381" w:rsidRDefault="00AA6381" w:rsidP="00AA6381">
      <w:pPr>
        <w:jc w:val="both"/>
      </w:pPr>
      <w:r>
        <w:t xml:space="preserve">It was agreed in </w:t>
      </w:r>
      <w:r w:rsidR="00557C4D">
        <w:t xml:space="preserve">RAN1 </w:t>
      </w:r>
      <w:r w:rsidR="00557C4D">
        <w:rPr>
          <w:kern w:val="2"/>
          <w:lang w:val="en-US" w:eastAsia="ko-KR"/>
        </w:rPr>
        <w:t xml:space="preserve">#AH 1901 </w:t>
      </w:r>
      <w:r w:rsidR="00557C4D">
        <w:t xml:space="preserve">meeting [3] </w:t>
      </w:r>
      <w:r>
        <w:t xml:space="preserve">to strive to down-select the time-domain allocation approach between bitmap indication and NR rel-15 approach for configured grants in the unlicensed operation. In </w:t>
      </w:r>
      <w:proofErr w:type="spellStart"/>
      <w:r>
        <w:t>FeLAA</w:t>
      </w:r>
      <w:proofErr w:type="spellEnd"/>
      <w:r>
        <w:t xml:space="preserve">, a bitmap of length 40-bits is used to indicate the subframe allocation to the UE, such that the UE is allowed to perform uplink transmissions using the AUL operation. The difference between the </w:t>
      </w:r>
      <w:proofErr w:type="spellStart"/>
      <w:r>
        <w:t>FeLAA</w:t>
      </w:r>
      <w:proofErr w:type="spellEnd"/>
      <w:r>
        <w:t xml:space="preserve"> scenario and the NR-U scenario is that in </w:t>
      </w:r>
      <w:proofErr w:type="spellStart"/>
      <w:r>
        <w:t>FeLAA</w:t>
      </w:r>
      <w:proofErr w:type="spellEnd"/>
      <w:r>
        <w:t xml:space="preserve"> there is only one SCS that the system can employ, whereas in NR-U the system may employ multiple SCS, and their associated OFDM symbol durations</w:t>
      </w:r>
      <w:r w:rsidR="00B949D5">
        <w:t xml:space="preserve"> </w:t>
      </w:r>
      <w:r w:rsidR="004F6DD2">
        <w:t>will</w:t>
      </w:r>
      <w:r w:rsidR="00B949D5">
        <w:t xml:space="preserve"> change accordingly</w:t>
      </w:r>
      <w:r>
        <w:t xml:space="preserve">. Furthermore, the slot and subframe format is different in NR-U from </w:t>
      </w:r>
      <w:proofErr w:type="spellStart"/>
      <w:r>
        <w:t>FeLAA</w:t>
      </w:r>
      <w:proofErr w:type="spellEnd"/>
      <w:r>
        <w:t xml:space="preserve">, such that now the slot always equals 14 OFDM symbols, whereas the subframe duration is always 1ms in duration. </w:t>
      </w:r>
    </w:p>
    <w:p w14:paraId="5893728D" w14:textId="10AEA6B9" w:rsidR="00AA6381" w:rsidRDefault="00AA6381" w:rsidP="00AA6381">
      <w:pPr>
        <w:jc w:val="both"/>
      </w:pPr>
      <w:r>
        <w:t xml:space="preserve">For configured grants in NR-U, in order to maintain time-domain allocation that remains </w:t>
      </w:r>
      <w:r w:rsidR="00B949D5">
        <w:t>fixed</w:t>
      </w:r>
      <w:r>
        <w:t xml:space="preserve"> between all of the numerologies</w:t>
      </w:r>
      <w:r w:rsidR="00B949D5">
        <w:t xml:space="preserve"> while guaranteeing very flexible selection of the resources to be allocated for configured grant operation</w:t>
      </w:r>
      <w:r>
        <w:t>, the time-domain bitmap can be used to indicate time-domain allocation on a slot basis. Since the bitmap time duration changes depending on the SCS, i.e. 40ms/20ms/10ms for SCS 15</w:t>
      </w:r>
      <w:r w:rsidR="00903716">
        <w:t xml:space="preserve"> </w:t>
      </w:r>
      <w:r>
        <w:t>kHz/30</w:t>
      </w:r>
      <w:r w:rsidR="00903716">
        <w:t xml:space="preserve"> </w:t>
      </w:r>
      <w:r>
        <w:t>kHz/60</w:t>
      </w:r>
      <w:r w:rsidR="00903716">
        <w:t xml:space="preserve"> </w:t>
      </w:r>
      <w:r>
        <w:t>kHz, then the bitmap slot indication simply repeats itself during the time configuration periodicity in multiples of 40</w:t>
      </w:r>
      <w:r w:rsidR="00B949D5">
        <w:t xml:space="preserve"> slots</w:t>
      </w:r>
      <w:r>
        <w:t xml:space="preserve">. </w:t>
      </w:r>
    </w:p>
    <w:p w14:paraId="13689E36" w14:textId="77777777" w:rsidR="0045778E" w:rsidRPr="0045778E" w:rsidRDefault="0045778E" w:rsidP="0045778E">
      <w:pPr>
        <w:jc w:val="both"/>
        <w:rPr>
          <w:b/>
        </w:rPr>
      </w:pPr>
      <w:r w:rsidRPr="0045778E">
        <w:rPr>
          <w:b/>
        </w:rPr>
        <w:t xml:space="preserve">Proposal 1: A bitmap of 40-bits length is used, where the bitmap indication is at the slot level. </w:t>
      </w:r>
    </w:p>
    <w:p w14:paraId="00558A5B" w14:textId="50013F0F" w:rsidR="00AA6381" w:rsidRDefault="00AA6381" w:rsidP="0045778E">
      <w:pPr>
        <w:jc w:val="both"/>
        <w:rPr>
          <w:b/>
        </w:rPr>
      </w:pPr>
      <w:r>
        <w:t xml:space="preserve">For </w:t>
      </w:r>
      <w:r w:rsidR="00B949D5">
        <w:t>configured grant (</w:t>
      </w:r>
      <w:r>
        <w:t>CG</w:t>
      </w:r>
      <w:r w:rsidR="00B949D5">
        <w:t>) operation</w:t>
      </w:r>
      <w:r>
        <w:t xml:space="preserve">, it is preferred to have the DMRS and UCI mapped in deterministic symbols so as to avoid </w:t>
      </w:r>
      <w:r w:rsidR="000F0D16">
        <w:t xml:space="preserve">any complicated blind detection or any potential </w:t>
      </w:r>
      <w:r>
        <w:t xml:space="preserve">channel estimation performance degradation at the gNB. With PUSCH type A, the DMRS is always mapped deterministically to the slot. For PUSCH type B, the DMRS is located at the beginning of the PUSCH transmission. </w:t>
      </w:r>
      <w:r w:rsidR="00D2646A">
        <w:t>In this last case, in the initial slot after UE acquires the channel, the first available symbol</w:t>
      </w:r>
      <w:r w:rsidR="00F1273F">
        <w:t xml:space="preserve"> for UL_SCH</w:t>
      </w:r>
      <w:r w:rsidR="00D2646A">
        <w:t xml:space="preserve"> is </w:t>
      </w:r>
      <w:r w:rsidR="00F1273F">
        <w:t>the next after than used for DMRS, w</w:t>
      </w:r>
      <w:r w:rsidR="00D2646A">
        <w:t xml:space="preserve">hile the first symbol in the following slot after the initial slot </w:t>
      </w:r>
      <w:r w:rsidR="00F1273F">
        <w:t>is symbol #0</w:t>
      </w:r>
      <w:r w:rsidR="00D2646A">
        <w:t xml:space="preserve">. Therefore, </w:t>
      </w:r>
      <w:r>
        <w:t>the gNB will have to blindly decode the DMRS position during the first PUSCH, which can begin in multiple positions depending on the starting offset</w:t>
      </w:r>
      <w:r w:rsidR="00D2646A">
        <w:t>,</w:t>
      </w:r>
      <w:r w:rsidR="00D2646A" w:rsidRPr="00D2646A">
        <w:t xml:space="preserve"> </w:t>
      </w:r>
      <w:r w:rsidR="00D2646A">
        <w:t>and the slot number within UE acquired COT</w:t>
      </w:r>
      <w:r>
        <w:t>. This can also cause degradation in UCI decoding performance at the gNB.</w:t>
      </w:r>
      <w:r w:rsidR="00496743">
        <w:t xml:space="preserve"> </w:t>
      </w:r>
      <w:r w:rsidR="00F1273F">
        <w:t>L</w:t>
      </w:r>
      <w:r w:rsidR="00496743">
        <w:t>astly, for the CG operation in NR-U, it is desirable to transmit PUSCH</w:t>
      </w:r>
      <w:r w:rsidR="008D5F93">
        <w:t>s</w:t>
      </w:r>
      <w:r w:rsidR="00496743">
        <w:t xml:space="preserve"> in multiple contiguous slots in order to fully utilize the </w:t>
      </w:r>
      <w:r w:rsidR="008D5F93">
        <w:t xml:space="preserve">uplink </w:t>
      </w:r>
      <w:r w:rsidR="00496743">
        <w:t>COT. Then the PUSCH</w:t>
      </w:r>
      <w:r w:rsidR="00F1273F">
        <w:t>s,</w:t>
      </w:r>
      <w:r w:rsidR="008D5F93">
        <w:t xml:space="preserve"> which </w:t>
      </w:r>
      <w:r w:rsidR="00F1273F">
        <w:t>are</w:t>
      </w:r>
      <w:r w:rsidR="008D5F93">
        <w:t xml:space="preserve"> not in the first slots of the COT</w:t>
      </w:r>
      <w:r w:rsidR="00F1273F">
        <w:t>,</w:t>
      </w:r>
      <w:r w:rsidR="008D5F93">
        <w:t xml:space="preserve"> have to be transmitted from the first symbol of each COT in order to </w:t>
      </w:r>
      <w:r w:rsidR="00F1273F">
        <w:t xml:space="preserve">avoid any gaps which may lead to lose the </w:t>
      </w:r>
      <w:r w:rsidR="008D5F93">
        <w:t>COT. So PUSCH type A could be the natural choice for configured grant.</w:t>
      </w:r>
    </w:p>
    <w:p w14:paraId="2F8A2A6D" w14:textId="77777777" w:rsidR="0045778E" w:rsidRDefault="0045778E" w:rsidP="0045778E">
      <w:pPr>
        <w:jc w:val="both"/>
        <w:rPr>
          <w:b/>
        </w:rPr>
      </w:pPr>
      <w:r w:rsidRPr="0045778E">
        <w:rPr>
          <w:b/>
        </w:rPr>
        <w:t>Proposal 2: PUSCH Type A is the baseline for CG</w:t>
      </w:r>
    </w:p>
    <w:p w14:paraId="26BC843C" w14:textId="5ADCFDC9" w:rsidR="00D0237F" w:rsidRDefault="0048245D" w:rsidP="00D0237F">
      <w:pPr>
        <w:jc w:val="both"/>
      </w:pPr>
      <w:r>
        <w:lastRenderedPageBreak/>
        <w:t xml:space="preserve">On this matter, </w:t>
      </w:r>
      <w:r w:rsidR="008D5F93">
        <w:t>one other remaining issue is</w:t>
      </w:r>
      <w:r w:rsidR="00D0237F">
        <w:t xml:space="preserve"> whether to allow multiple starting symbols for CG</w:t>
      </w:r>
      <w:r w:rsidR="008D5F93">
        <w:t xml:space="preserve"> transmissions</w:t>
      </w:r>
      <w:r w:rsidR="00D0237F">
        <w:t xml:space="preserve"> based on LBT outcome, such that the first PUSCH in an UL burst can begin in either a subset of symbols, or any symbol in the slot. In order to allow the functionality of multiple starting symbols within the slot, there are two possible consequences based on the PUSCH type. </w:t>
      </w:r>
    </w:p>
    <w:p w14:paraId="41657D86" w14:textId="1E4F8ACB" w:rsidR="00500CE3" w:rsidRDefault="00D0237F" w:rsidP="00D0237F">
      <w:pPr>
        <w:jc w:val="both"/>
      </w:pPr>
      <w:r>
        <w:t>For PUSCH type A, the first PUSCH is mapped from the beginning of the slot at OS#0</w:t>
      </w:r>
      <w:r w:rsidR="00500CE3">
        <w:t xml:space="preserve"> and DMRS is configured on either the OS#2 or OS#3</w:t>
      </w:r>
      <w:r>
        <w:t>.</w:t>
      </w:r>
      <w:r w:rsidR="00D62692">
        <w:t xml:space="preserve"> Regardless of whether multiple starting symbols are supported or not, the DMRS has always to be transmitted in the same position</w:t>
      </w:r>
      <w:r w:rsidR="0048245D">
        <w:t xml:space="preserve">, </w:t>
      </w:r>
      <w:r w:rsidR="00D62692">
        <w:t>and it should not be punctured</w:t>
      </w:r>
      <w:r w:rsidR="005D2F1C">
        <w:t xml:space="preserve"> or changed to the other positions</w:t>
      </w:r>
      <w:r w:rsidR="00D62692">
        <w:t xml:space="preserve">. A gNB has to detect the CG transmissions and the detection can be done by detecting the DMRS. Therefore, if DMRS position changes based on LBT, the gNB needs to perform detection using multiple hypothesis </w:t>
      </w:r>
      <w:r w:rsidR="005D2F1C">
        <w:t>tests</w:t>
      </w:r>
      <w:r w:rsidR="00D62692">
        <w:t xml:space="preserve">, which can increase </w:t>
      </w:r>
      <w:r w:rsidR="0048245D">
        <w:t xml:space="preserve">greatly </w:t>
      </w:r>
      <w:r w:rsidR="00D62692">
        <w:t xml:space="preserve">the detection complexity. </w:t>
      </w:r>
    </w:p>
    <w:p w14:paraId="2929BE86" w14:textId="6C8C3D2C" w:rsidR="00D0237F" w:rsidRDefault="0048245D" w:rsidP="00D0237F">
      <w:pPr>
        <w:jc w:val="both"/>
      </w:pPr>
      <w:r>
        <w:t>As</w:t>
      </w:r>
      <w:r w:rsidR="005D2F1C">
        <w:t xml:space="preserve"> f</w:t>
      </w:r>
      <w:r w:rsidR="00D0237F">
        <w:t xml:space="preserve">or PUSCH type B, if the UE is configured with multiple starting symbols, the UE will transmit the DMRS in the first symbol after successfully performing LBT. Therefore, the gNB channel estimation complexity will increase, while performance will degrade as the number of starting symbols increases. Furthermore, the UE will have to perform either significant puncturing of the data, which will further impact the probability of successful decoding. </w:t>
      </w:r>
    </w:p>
    <w:p w14:paraId="3E7763FD" w14:textId="3EA11A69" w:rsidR="00D0237F" w:rsidRPr="00E92357" w:rsidRDefault="005D2F1C" w:rsidP="00404419">
      <w:pPr>
        <w:tabs>
          <w:tab w:val="left" w:pos="6290"/>
        </w:tabs>
        <w:jc w:val="both"/>
        <w:rPr>
          <w:b/>
        </w:rPr>
      </w:pPr>
      <w:r w:rsidRPr="00E92357">
        <w:rPr>
          <w:b/>
        </w:rPr>
        <w:t xml:space="preserve">Proposal </w:t>
      </w:r>
      <w:r>
        <w:rPr>
          <w:b/>
        </w:rPr>
        <w:t>3</w:t>
      </w:r>
      <w:r w:rsidRPr="00E92357">
        <w:rPr>
          <w:b/>
        </w:rPr>
        <w:t xml:space="preserve">: </w:t>
      </w:r>
      <w:r w:rsidRPr="00404419">
        <w:rPr>
          <w:b/>
        </w:rPr>
        <w:t>DMRS position should not be impacted by the introduction of multiple starting symbols</w:t>
      </w:r>
    </w:p>
    <w:p w14:paraId="470D90DF" w14:textId="3E0F715A" w:rsidR="00AA6381" w:rsidRPr="0045778E" w:rsidRDefault="00D0237F" w:rsidP="00D0237F">
      <w:pPr>
        <w:jc w:val="both"/>
        <w:rPr>
          <w:b/>
        </w:rPr>
      </w:pPr>
      <w:r>
        <w:t xml:space="preserve">A configured grant UE is configured via higher layers with a SLIV parameter that indicates PUSCH start symbol position and PUSCH length in symbols within a slot. However, in the unlicensed operation, it is preferred that a UE could transmit PUSCH continuously in the continuous uplink slot, and not leave blank symbols in between. Therefore, it is better to modify SLIV to indicate the </w:t>
      </w:r>
      <w:r w:rsidR="00D2646A">
        <w:t xml:space="preserve">exact </w:t>
      </w:r>
      <w:r>
        <w:t>start symbol of the first slot in the uplink transmission burst</w:t>
      </w:r>
      <w:r w:rsidR="00D2646A">
        <w:t>,</w:t>
      </w:r>
      <w:r w:rsidR="00D2646A" w:rsidRPr="00D2646A">
        <w:t xml:space="preserve"> </w:t>
      </w:r>
      <w:r w:rsidR="00D2646A">
        <w:t>and symbol 0 for following slots</w:t>
      </w:r>
      <w:r>
        <w:t xml:space="preserve">, and </w:t>
      </w:r>
      <w:r w:rsidR="00D2646A">
        <w:t xml:space="preserve">to indicated </w:t>
      </w:r>
      <w:r>
        <w:t xml:space="preserve">the </w:t>
      </w:r>
      <w:r w:rsidR="00D2646A">
        <w:t xml:space="preserve">exact </w:t>
      </w:r>
      <w:r>
        <w:t>end symbol of the last slot of the uplink</w:t>
      </w:r>
      <w:r w:rsidRPr="00C47B06">
        <w:t xml:space="preserve"> </w:t>
      </w:r>
      <w:r>
        <w:t>transmission burst, while all 14 symbols are used for the slots in the middle of the uplink transmission burst.</w:t>
      </w:r>
    </w:p>
    <w:p w14:paraId="72010072" w14:textId="509FF167" w:rsidR="0045778E" w:rsidRDefault="0045778E" w:rsidP="0045778E">
      <w:pPr>
        <w:jc w:val="both"/>
        <w:rPr>
          <w:b/>
        </w:rPr>
      </w:pPr>
      <w:r w:rsidRPr="0045778E">
        <w:rPr>
          <w:b/>
        </w:rPr>
        <w:t xml:space="preserve">Proposal </w:t>
      </w:r>
      <w:r w:rsidR="005D2F1C">
        <w:rPr>
          <w:b/>
        </w:rPr>
        <w:t>4</w:t>
      </w:r>
      <w:r w:rsidRPr="0045778E">
        <w:rPr>
          <w:b/>
        </w:rPr>
        <w:t>: The SLIV time parameter is modified to indicate the start symbol of the first slot in the uplink transmission burst, and the end symbol of the last slot of the uplink transmission burst.</w:t>
      </w:r>
    </w:p>
    <w:p w14:paraId="6F9DEC39" w14:textId="77777777" w:rsidR="000E167D" w:rsidRDefault="000E167D" w:rsidP="00DA1A86">
      <w:pPr>
        <w:ind w:firstLine="288"/>
        <w:jc w:val="both"/>
      </w:pPr>
    </w:p>
    <w:p w14:paraId="35C651F8" w14:textId="180EE3F0" w:rsidR="0045778E" w:rsidRDefault="0045778E" w:rsidP="0045778E">
      <w:pPr>
        <w:pStyle w:val="Heading2"/>
        <w:rPr>
          <w:b/>
          <w:sz w:val="24"/>
          <w:szCs w:val="24"/>
        </w:rPr>
      </w:pPr>
      <w:r>
        <w:rPr>
          <w:b/>
          <w:sz w:val="24"/>
          <w:szCs w:val="24"/>
        </w:rPr>
        <w:t xml:space="preserve">2.2 Collision Avoidance </w:t>
      </w:r>
    </w:p>
    <w:p w14:paraId="4EEA7448" w14:textId="22FCD07D" w:rsidR="004E2EDF" w:rsidRDefault="004E2EDF" w:rsidP="004E2EDF">
      <w:pPr>
        <w:jc w:val="both"/>
        <w:rPr>
          <w:noProof/>
        </w:rPr>
      </w:pPr>
      <w:r>
        <w:rPr>
          <w:noProof/>
        </w:rPr>
        <w:t>In NR-U, both grant based PUSCH and configured grant based PUSCH are supported. It is straightforwardly though</w:t>
      </w:r>
      <w:r w:rsidR="005D2F1C">
        <w:rPr>
          <w:noProof/>
        </w:rPr>
        <w:t>t</w:t>
      </w:r>
      <w:r>
        <w:rPr>
          <w:noProof/>
        </w:rPr>
        <w:t xml:space="preserve"> that grant based PUSCH </w:t>
      </w:r>
      <w:r w:rsidR="005D2F1C">
        <w:rPr>
          <w:noProof/>
        </w:rPr>
        <w:t xml:space="preserve">needs to be </w:t>
      </w:r>
      <w:r>
        <w:rPr>
          <w:noProof/>
        </w:rPr>
        <w:t xml:space="preserve">prioritized over configured grant PUSCH, where the prioritization could be given by mulitple ways. </w:t>
      </w:r>
    </w:p>
    <w:p w14:paraId="137BBF75" w14:textId="5B13C05C" w:rsidR="004E2EDF" w:rsidRPr="00167901" w:rsidRDefault="004E2EDF" w:rsidP="004E2EDF">
      <w:pPr>
        <w:jc w:val="both"/>
        <w:rPr>
          <w:noProof/>
        </w:rPr>
      </w:pPr>
      <w:r>
        <w:rPr>
          <w:noProof/>
        </w:rPr>
        <w:t>Since the UE</w:t>
      </w:r>
      <w:r w:rsidR="0048245D">
        <w:rPr>
          <w:noProof/>
        </w:rPr>
        <w:t>,</w:t>
      </w:r>
      <w:r>
        <w:rPr>
          <w:noProof/>
        </w:rPr>
        <w:t xml:space="preserve"> which successfully performs LBT</w:t>
      </w:r>
      <w:r w:rsidR="0048245D">
        <w:rPr>
          <w:noProof/>
        </w:rPr>
        <w:t>,</w:t>
      </w:r>
      <w:r>
        <w:rPr>
          <w:noProof/>
        </w:rPr>
        <w:t xml:space="preserve"> will acquire the channel and transmit</w:t>
      </w:r>
      <w:r w:rsidR="007935D6">
        <w:rPr>
          <w:noProof/>
        </w:rPr>
        <w:t xml:space="preserve"> </w:t>
      </w:r>
      <w:r w:rsidR="0048245D">
        <w:rPr>
          <w:noProof/>
        </w:rPr>
        <w:t>on it</w:t>
      </w:r>
      <w:r>
        <w:rPr>
          <w:noProof/>
        </w:rPr>
        <w:t xml:space="preserve">, different UEs can be prioritized by the utilization of different starting positions with respect to the slot boundary. </w:t>
      </w:r>
      <w:r w:rsidRPr="00167901">
        <w:rPr>
          <w:noProof/>
        </w:rPr>
        <w:t xml:space="preserve">Namely, the </w:t>
      </w:r>
      <w:r>
        <w:rPr>
          <w:noProof/>
        </w:rPr>
        <w:t xml:space="preserve">UE </w:t>
      </w:r>
      <w:r w:rsidRPr="00167901">
        <w:rPr>
          <w:noProof/>
        </w:rPr>
        <w:t>with an earlier starting position can be prioritized</w:t>
      </w:r>
      <w:r>
        <w:rPr>
          <w:noProof/>
        </w:rPr>
        <w:t xml:space="preserve"> over the UE</w:t>
      </w:r>
      <w:r w:rsidRPr="00167901">
        <w:rPr>
          <w:noProof/>
        </w:rPr>
        <w:t xml:space="preserve"> with delayed starting position. </w:t>
      </w:r>
    </w:p>
    <w:p w14:paraId="0D6CA20E" w14:textId="62C60F4E" w:rsidR="004E2EDF" w:rsidRDefault="004E2EDF" w:rsidP="004E2EDF">
      <w:pPr>
        <w:jc w:val="both"/>
        <w:rPr>
          <w:lang w:val="en-US"/>
        </w:rPr>
      </w:pPr>
      <w:r>
        <w:rPr>
          <w:noProof/>
        </w:rPr>
        <w:t xml:space="preserve">In LTE </w:t>
      </w:r>
      <w:r w:rsidR="0048245D">
        <w:rPr>
          <w:noProof/>
        </w:rPr>
        <w:t>e</w:t>
      </w:r>
      <w:r>
        <w:rPr>
          <w:noProof/>
        </w:rPr>
        <w:t xml:space="preserve">LAA, a grant based PUSCH can start from one of four possible start position as indicated by DCI, i.e. start of </w:t>
      </w:r>
      <w:r w:rsidR="00404419">
        <w:rPr>
          <w:noProof/>
        </w:rPr>
        <w:t>OFDM symbol (</w:t>
      </w:r>
      <w:r>
        <w:rPr>
          <w:noProof/>
        </w:rPr>
        <w:t>OS</w:t>
      </w:r>
      <w:r w:rsidR="00404419">
        <w:rPr>
          <w:noProof/>
        </w:rPr>
        <w:t>)</w:t>
      </w:r>
      <w:r>
        <w:rPr>
          <w:noProof/>
        </w:rPr>
        <w:t xml:space="preserve"> </w:t>
      </w:r>
      <w:r w:rsidR="00404419">
        <w:rPr>
          <w:noProof/>
        </w:rPr>
        <w:t>#</w:t>
      </w:r>
      <w:r>
        <w:rPr>
          <w:noProof/>
        </w:rPr>
        <w:t xml:space="preserve">0, 25us after OS </w:t>
      </w:r>
      <w:r w:rsidR="00404419">
        <w:rPr>
          <w:noProof/>
        </w:rPr>
        <w:t>#</w:t>
      </w:r>
      <w:r>
        <w:rPr>
          <w:noProof/>
        </w:rPr>
        <w:t xml:space="preserve">0, 25us + TA after OS </w:t>
      </w:r>
      <w:r w:rsidR="00404419">
        <w:rPr>
          <w:noProof/>
        </w:rPr>
        <w:t>#</w:t>
      </w:r>
      <w:r>
        <w:rPr>
          <w:noProof/>
        </w:rPr>
        <w:t xml:space="preserve">0 and start of OS </w:t>
      </w:r>
      <w:r w:rsidR="00404419">
        <w:rPr>
          <w:noProof/>
        </w:rPr>
        <w:t>#</w:t>
      </w:r>
      <w:r>
        <w:rPr>
          <w:noProof/>
        </w:rPr>
        <w:t>1.</w:t>
      </w:r>
      <w:r w:rsidR="00E92357">
        <w:rPr>
          <w:noProof/>
        </w:rPr>
        <w:t xml:space="preserve"> Meanwhile,</w:t>
      </w:r>
      <w:r>
        <w:rPr>
          <w:noProof/>
        </w:rPr>
        <w:t xml:space="preserve"> for FeLAA AUL, </w:t>
      </w:r>
      <w:r>
        <w:rPr>
          <w:lang w:val="en-US"/>
        </w:rPr>
        <w:t>the set of start position is {</w:t>
      </w:r>
      <w:r>
        <w:rPr>
          <w:noProof/>
        </w:rPr>
        <w:t>16us, 25us, 34us, 43us, 52us, 61us, OS#1</w:t>
      </w:r>
      <w:r>
        <w:rPr>
          <w:lang w:val="en-US"/>
        </w:rPr>
        <w:t xml:space="preserve">} outside of a gNB-initiated COT, </w:t>
      </w:r>
      <w:r w:rsidR="00E92357">
        <w:rPr>
          <w:lang w:val="en-US"/>
        </w:rPr>
        <w:t xml:space="preserve">and </w:t>
      </w:r>
      <w:r>
        <w:rPr>
          <w:lang w:val="en-US"/>
        </w:rPr>
        <w:t xml:space="preserve">{16us, 25us} are not allowed </w:t>
      </w:r>
      <w:r w:rsidR="0048245D">
        <w:rPr>
          <w:lang w:val="en-US"/>
        </w:rPr>
        <w:t xml:space="preserve">from previous set of values </w:t>
      </w:r>
      <w:r>
        <w:rPr>
          <w:lang w:val="en-US"/>
        </w:rPr>
        <w:t>inside a gNB-initiated COT. For full BW allocation, UE can randomly select a value from the set for the transmission of AUL;</w:t>
      </w:r>
      <w:r w:rsidR="00E92357">
        <w:rPr>
          <w:lang w:val="en-US"/>
        </w:rPr>
        <w:t xml:space="preserve"> but</w:t>
      </w:r>
      <w:r>
        <w:rPr>
          <w:lang w:val="en-US"/>
        </w:rPr>
        <w:t xml:space="preserve"> for partial </w:t>
      </w:r>
      <w:r w:rsidR="00F1273F">
        <w:rPr>
          <w:lang w:val="en-US"/>
        </w:rPr>
        <w:t xml:space="preserve">BW </w:t>
      </w:r>
      <w:r>
        <w:rPr>
          <w:lang w:val="en-US"/>
        </w:rPr>
        <w:t xml:space="preserve">allocation, the UE will be assigned a starting offset value from the aforementioned sets above. Thus, this approach can give higher priority to grant based PUSCH over AUL PUSCH, </w:t>
      </w:r>
      <w:r w:rsidR="00F1273F">
        <w:rPr>
          <w:lang w:val="en-US"/>
        </w:rPr>
        <w:t xml:space="preserve">if gNB schedules grant based PUSCH with start position </w:t>
      </w:r>
      <w:r w:rsidR="00404419">
        <w:rPr>
          <w:lang w:val="en-US"/>
        </w:rPr>
        <w:t xml:space="preserve">at </w:t>
      </w:r>
      <w:r w:rsidR="00F1273F">
        <w:rPr>
          <w:lang w:val="en-US"/>
        </w:rPr>
        <w:t xml:space="preserve">OS </w:t>
      </w:r>
      <w:r w:rsidR="00404419">
        <w:rPr>
          <w:lang w:val="en-US"/>
        </w:rPr>
        <w:t>#</w:t>
      </w:r>
      <w:r w:rsidR="00F1273F">
        <w:rPr>
          <w:lang w:val="en-US"/>
        </w:rPr>
        <w:t>0 or 25us.</w:t>
      </w:r>
      <w:r>
        <w:rPr>
          <w:lang w:val="en-US"/>
        </w:rPr>
        <w:t xml:space="preserve"> Likewise, similar principles can be also applied to NR-U.</w:t>
      </w:r>
    </w:p>
    <w:p w14:paraId="7139EAA7" w14:textId="3EF2DB47" w:rsidR="009E1B25" w:rsidRDefault="004E2EDF" w:rsidP="009E1B25">
      <w:pPr>
        <w:jc w:val="both"/>
        <w:rPr>
          <w:lang w:val="en-US"/>
        </w:rPr>
      </w:pPr>
      <w:r>
        <w:rPr>
          <w:lang w:val="en-US"/>
        </w:rPr>
        <w:t xml:space="preserve">In NR-U, due to the multiple numerologies, the starting offsets used may span multiple OS. This may require the need for multiple starting symbol occasions beyond what was used in </w:t>
      </w:r>
      <w:proofErr w:type="spellStart"/>
      <w:r>
        <w:rPr>
          <w:lang w:val="en-US"/>
        </w:rPr>
        <w:t>FeLAA</w:t>
      </w:r>
      <w:proofErr w:type="spellEnd"/>
      <w:r>
        <w:rPr>
          <w:lang w:val="en-US"/>
        </w:rPr>
        <w:t>, where the starting offsets only span the length of OS</w:t>
      </w:r>
      <w:r w:rsidR="00404419">
        <w:rPr>
          <w:lang w:val="en-US"/>
        </w:rPr>
        <w:t xml:space="preserve"> </w:t>
      </w:r>
      <w:r>
        <w:rPr>
          <w:lang w:val="en-US"/>
        </w:rPr>
        <w:t>#0. However, if the offsets span across too many OS, such that the starting symbols allowed go beyond OS</w:t>
      </w:r>
      <w:r w:rsidR="00404419">
        <w:rPr>
          <w:lang w:val="en-US"/>
        </w:rPr>
        <w:t xml:space="preserve"> </w:t>
      </w:r>
      <w:r>
        <w:rPr>
          <w:lang w:val="en-US"/>
        </w:rPr>
        <w:t>#2 for example, then a significant amount of signaling will be required to indicate the starting symbol. Also, the channel estimation performance will suffer, as the DMRS will either be punctured</w:t>
      </w:r>
      <w:r w:rsidR="00E92357">
        <w:rPr>
          <w:lang w:val="en-US"/>
        </w:rPr>
        <w:t xml:space="preserve"> or repositioned</w:t>
      </w:r>
      <w:r>
        <w:rPr>
          <w:lang w:val="en-US"/>
        </w:rPr>
        <w:t xml:space="preserve"> in the case of PUSCH type A, or need to be blindly decoded among the different starting symbols in the case of PUSCH type B. Furthermore, due to the shorter symbol and slot durations for higher SCS, spectral efficiency suffers when the offsets are extended too far past the beginning of the slot.</w:t>
      </w:r>
      <w:r w:rsidR="009E1B25">
        <w:rPr>
          <w:lang w:val="en-US"/>
        </w:rPr>
        <w:t xml:space="preserve"> </w:t>
      </w:r>
      <w:r w:rsidR="00CA6849">
        <w:rPr>
          <w:lang w:val="en-US"/>
        </w:rPr>
        <w:t xml:space="preserve">An </w:t>
      </w:r>
      <w:r w:rsidR="009E1B25">
        <w:rPr>
          <w:lang w:val="en-US"/>
        </w:rPr>
        <w:t xml:space="preserve">example of this concept is illustrated in </w:t>
      </w:r>
      <w:r w:rsidR="009E1B25">
        <w:rPr>
          <w:lang w:val="en-US"/>
        </w:rPr>
        <w:fldChar w:fldCharType="begin"/>
      </w:r>
      <w:r w:rsidR="009E1B25">
        <w:rPr>
          <w:lang w:val="en-US"/>
        </w:rPr>
        <w:instrText xml:space="preserve"> REF _Ref1039106 \h </w:instrText>
      </w:r>
      <w:r w:rsidR="009E1B25">
        <w:rPr>
          <w:lang w:val="en-US"/>
        </w:rPr>
      </w:r>
      <w:r w:rsidR="009E1B25">
        <w:rPr>
          <w:lang w:val="en-US"/>
        </w:rPr>
        <w:fldChar w:fldCharType="separate"/>
      </w:r>
      <w:r w:rsidR="009E1B25">
        <w:t xml:space="preserve">Figure </w:t>
      </w:r>
      <w:r w:rsidR="009E1B25">
        <w:rPr>
          <w:noProof/>
        </w:rPr>
        <w:t>1</w:t>
      </w:r>
      <w:r w:rsidR="009E1B25">
        <w:rPr>
          <w:lang w:val="en-US"/>
        </w:rPr>
        <w:fldChar w:fldCharType="end"/>
      </w:r>
      <w:r w:rsidR="00CA6849">
        <w:rPr>
          <w:lang w:val="en-US"/>
        </w:rPr>
        <w:t>.</w:t>
      </w:r>
    </w:p>
    <w:p w14:paraId="6AD3C5EE" w14:textId="77777777" w:rsidR="009E1B25" w:rsidRDefault="009E1B25" w:rsidP="009E1B25">
      <w:pPr>
        <w:keepNext/>
        <w:jc w:val="center"/>
      </w:pPr>
      <w:r>
        <w:rPr>
          <w:noProof/>
          <w:lang w:val="en-US" w:eastAsia="ko-KR"/>
        </w:rPr>
        <w:lastRenderedPageBreak/>
        <w:drawing>
          <wp:inline distT="0" distB="0" distL="0" distR="0" wp14:anchorId="4186391C" wp14:editId="1A0C2C25">
            <wp:extent cx="6332220" cy="1649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649095"/>
                    </a:xfrm>
                    <a:prstGeom prst="rect">
                      <a:avLst/>
                    </a:prstGeom>
                  </pic:spPr>
                </pic:pic>
              </a:graphicData>
            </a:graphic>
          </wp:inline>
        </w:drawing>
      </w:r>
    </w:p>
    <w:p w14:paraId="595D2256" w14:textId="6361F87F" w:rsidR="009E1B25" w:rsidRDefault="009E1B25" w:rsidP="009E1B25">
      <w:pPr>
        <w:pStyle w:val="Caption"/>
        <w:jc w:val="center"/>
      </w:pPr>
      <w:bookmarkStart w:id="2" w:name="_Ref1039106"/>
      <w:r>
        <w:t xml:space="preserve">Figure </w:t>
      </w:r>
      <w:r>
        <w:fldChar w:fldCharType="begin"/>
      </w:r>
      <w:r>
        <w:instrText xml:space="preserve"> SEQ Figure \* ARABIC </w:instrText>
      </w:r>
      <w:r>
        <w:fldChar w:fldCharType="separate"/>
      </w:r>
      <w:r>
        <w:rPr>
          <w:noProof/>
        </w:rPr>
        <w:t>1</w:t>
      </w:r>
      <w:r>
        <w:fldChar w:fldCharType="end"/>
      </w:r>
      <w:bookmarkEnd w:id="2"/>
      <w:r>
        <w:t>: Illustration of intra and inter symbol offsets for collision avoidance</w:t>
      </w:r>
    </w:p>
    <w:p w14:paraId="615F9048" w14:textId="77777777" w:rsidR="00790836" w:rsidRDefault="00790836" w:rsidP="009A0F06">
      <w:pPr>
        <w:rPr>
          <w:b/>
        </w:rPr>
      </w:pPr>
    </w:p>
    <w:p w14:paraId="565A8204" w14:textId="216A1E46" w:rsidR="009A0F06" w:rsidRDefault="009A0F06" w:rsidP="009A0F06">
      <w:r w:rsidRPr="00734029">
        <w:rPr>
          <w:b/>
        </w:rPr>
        <w:t xml:space="preserve">Proposal </w:t>
      </w:r>
      <w:r w:rsidR="00E92357">
        <w:rPr>
          <w:b/>
        </w:rPr>
        <w:t>5</w:t>
      </w:r>
      <w:r w:rsidRPr="00734029">
        <w:rPr>
          <w:b/>
        </w:rPr>
        <w:t xml:space="preserve">: In order to mitigate collisions and blocking among devices, the </w:t>
      </w:r>
      <w:proofErr w:type="spellStart"/>
      <w:r w:rsidRPr="00734029">
        <w:rPr>
          <w:b/>
        </w:rPr>
        <w:t>FeLAA</w:t>
      </w:r>
      <w:proofErr w:type="spellEnd"/>
      <w:r w:rsidRPr="00734029">
        <w:rPr>
          <w:b/>
        </w:rPr>
        <w:t xml:space="preserve"> approach is reused in NR-U, with the exception that for 30 and 60 KHz SCS the </w:t>
      </w:r>
      <w:proofErr w:type="spellStart"/>
      <w:r w:rsidR="00790836">
        <w:rPr>
          <w:b/>
        </w:rPr>
        <w:t>F</w:t>
      </w:r>
      <w:r w:rsidRPr="00734029">
        <w:rPr>
          <w:b/>
        </w:rPr>
        <w:t>eLAA</w:t>
      </w:r>
      <w:proofErr w:type="spellEnd"/>
      <w:r w:rsidRPr="00734029">
        <w:rPr>
          <w:b/>
        </w:rPr>
        <w:t xml:space="preserve"> offsets are truncated up to the 2nd symbol</w:t>
      </w:r>
      <w:r>
        <w:t>.</w:t>
      </w:r>
    </w:p>
    <w:p w14:paraId="30296867" w14:textId="37008BB2" w:rsidR="0045778E" w:rsidRDefault="004E2EDF" w:rsidP="0045778E">
      <w:pPr>
        <w:jc w:val="both"/>
        <w:rPr>
          <w:noProof/>
        </w:rPr>
      </w:pPr>
      <w:r>
        <w:rPr>
          <w:noProof/>
        </w:rPr>
        <w:t>A gNB can also directly impact prioritization within its initiated COT. A configured grant PUSCH may be forbidden from transmission inside UL burst in a shared gNB-acquired COT</w:t>
      </w:r>
      <w:r w:rsidR="00E92357">
        <w:rPr>
          <w:noProof/>
        </w:rPr>
        <w:t xml:space="preserve"> by a certain indication</w:t>
      </w:r>
      <w:r>
        <w:rPr>
          <w:noProof/>
        </w:rPr>
        <w:t xml:space="preserve">. In FeLAA, there is one bit in C-PDCCH </w:t>
      </w:r>
      <w:r w:rsidR="00AA3476">
        <w:rPr>
          <w:noProof/>
        </w:rPr>
        <w:t>which indicates whether CG transmissions are permitted within the gNB-initated COT</w:t>
      </w:r>
      <w:r>
        <w:rPr>
          <w:noProof/>
        </w:rPr>
        <w:t>. We can also reuse the similar behavour in NR-U.</w:t>
      </w:r>
    </w:p>
    <w:p w14:paraId="3F96F47C" w14:textId="4800FAAB" w:rsidR="0045778E" w:rsidRDefault="0045778E" w:rsidP="0045778E">
      <w:pPr>
        <w:jc w:val="both"/>
        <w:rPr>
          <w:noProof/>
        </w:rPr>
      </w:pPr>
      <w:r>
        <w:rPr>
          <w:noProof/>
        </w:rPr>
        <w:t>In addition, prioritization can be also considere</w:t>
      </w:r>
      <w:r w:rsidR="000B119D">
        <w:rPr>
          <w:noProof/>
        </w:rPr>
        <w:t>d</w:t>
      </w:r>
      <w:r>
        <w:rPr>
          <w:noProof/>
        </w:rPr>
        <w:t xml:space="preserve"> </w:t>
      </w:r>
      <w:r w:rsidR="000B119D">
        <w:rPr>
          <w:noProof/>
        </w:rPr>
        <w:t xml:space="preserve">between </w:t>
      </w:r>
      <w:r w:rsidR="000B119D">
        <w:t xml:space="preserve">configured grant PUSCH and grant based PUSCH </w:t>
      </w:r>
      <w:r w:rsidR="00E92357">
        <w:t>from</w:t>
      </w:r>
      <w:r w:rsidR="00E92357">
        <w:rPr>
          <w:noProof/>
        </w:rPr>
        <w:t xml:space="preserve"> a</w:t>
      </w:r>
      <w:r w:rsidR="000B119D">
        <w:rPr>
          <w:noProof/>
        </w:rPr>
        <w:t xml:space="preserve"> single</w:t>
      </w:r>
      <w:r>
        <w:rPr>
          <w:noProof/>
        </w:rPr>
        <w:t xml:space="preserve"> UE. For example, </w:t>
      </w:r>
      <w:r w:rsidR="000B119D">
        <w:rPr>
          <w:noProof/>
        </w:rPr>
        <w:t xml:space="preserve">the </w:t>
      </w:r>
      <w:r>
        <w:rPr>
          <w:noProof/>
        </w:rPr>
        <w:t xml:space="preserve">UE </w:t>
      </w:r>
      <w:r w:rsidR="000B119D">
        <w:rPr>
          <w:noProof/>
        </w:rPr>
        <w:t xml:space="preserve">plans </w:t>
      </w:r>
      <w:r>
        <w:rPr>
          <w:noProof/>
        </w:rPr>
        <w:t xml:space="preserve">to transmit </w:t>
      </w:r>
      <w:r w:rsidR="000B119D">
        <w:rPr>
          <w:noProof/>
        </w:rPr>
        <w:t xml:space="preserve">a </w:t>
      </w:r>
      <w:r>
        <w:rPr>
          <w:noProof/>
        </w:rPr>
        <w:t>configured grant PUSCH in a slot indicate</w:t>
      </w:r>
      <w:r w:rsidR="000B119D">
        <w:rPr>
          <w:noProof/>
        </w:rPr>
        <w:t>d</w:t>
      </w:r>
      <w:r>
        <w:rPr>
          <w:noProof/>
        </w:rPr>
        <w:t xml:space="preserve"> as ‘1’ by the high layer bitmap for configured grant resource. In this case, if the UE received a DCI sched</w:t>
      </w:r>
      <w:r w:rsidR="00E92357">
        <w:rPr>
          <w:noProof/>
        </w:rPr>
        <w:t>u</w:t>
      </w:r>
      <w:r>
        <w:rPr>
          <w:noProof/>
        </w:rPr>
        <w:t>ling grant based PUSCH in the same slot, UE needs to withdraw the tnramission of configured grant PUSCH and follow the DCI for the transmission of grant based PUSCH.</w:t>
      </w:r>
    </w:p>
    <w:p w14:paraId="0BCDFDAF" w14:textId="689D3BA0" w:rsidR="0045778E" w:rsidRPr="00DA1A86" w:rsidRDefault="0045778E" w:rsidP="0045778E">
      <w:pPr>
        <w:rPr>
          <w:b/>
          <w:lang w:val="en-US"/>
        </w:rPr>
      </w:pPr>
      <w:r w:rsidRPr="00DA1A86">
        <w:rPr>
          <w:b/>
          <w:lang w:val="en-US"/>
        </w:rPr>
        <w:t xml:space="preserve">Proposal </w:t>
      </w:r>
      <w:r w:rsidR="00E92357">
        <w:rPr>
          <w:b/>
          <w:lang w:val="en-US"/>
        </w:rPr>
        <w:t>6</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7889D406" w14:textId="77777777" w:rsidR="0045778E" w:rsidRPr="00DA1A86" w:rsidRDefault="0045778E" w:rsidP="0045778E">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5A97E5E3" w14:textId="77777777" w:rsidR="0045778E" w:rsidRPr="00DA1A86" w:rsidRDefault="0045778E" w:rsidP="0045778E">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B0B1C" w14:textId="507F7C61" w:rsidR="0045778E" w:rsidRPr="00DA1A86" w:rsidRDefault="0045778E" w:rsidP="0045778E">
      <w:pPr>
        <w:pStyle w:val="ListParagraph"/>
        <w:numPr>
          <w:ilvl w:val="0"/>
          <w:numId w:val="42"/>
        </w:numPr>
        <w:rPr>
          <w:b/>
        </w:rPr>
      </w:pPr>
      <w:r w:rsidRPr="00DA1A86">
        <w:rPr>
          <w:rFonts w:ascii="Times New Roman" w:hAnsi="Times New Roman"/>
          <w:b/>
          <w:noProof/>
          <w:sz w:val="20"/>
        </w:rPr>
        <w:t xml:space="preserve">From </w:t>
      </w:r>
      <w:r w:rsidR="00D62692">
        <w:rPr>
          <w:rFonts w:ascii="Times New Roman" w:hAnsi="Times New Roman"/>
          <w:b/>
          <w:noProof/>
          <w:sz w:val="20"/>
        </w:rPr>
        <w:t xml:space="preserve">a </w:t>
      </w:r>
      <w:r w:rsidRPr="00DA1A86">
        <w:rPr>
          <w:rFonts w:ascii="Times New Roman" w:hAnsi="Times New Roman"/>
          <w:b/>
          <w:noProof/>
          <w:sz w:val="20"/>
        </w:rPr>
        <w:t xml:space="preserve">single UE point of view, if GB PUSCH is scheduled in a slot, CG PUSCH is withdrawn in the same slot. </w:t>
      </w:r>
    </w:p>
    <w:p w14:paraId="24F64772" w14:textId="77777777" w:rsidR="0045778E" w:rsidRDefault="0045778E" w:rsidP="00DA1A86">
      <w:pPr>
        <w:ind w:firstLine="288"/>
        <w:jc w:val="both"/>
      </w:pPr>
    </w:p>
    <w:p w14:paraId="0C06C0B0" w14:textId="52C48CBD" w:rsidR="000E167D" w:rsidRDefault="000E167D" w:rsidP="000E167D">
      <w:pPr>
        <w:pStyle w:val="Heading2"/>
        <w:rPr>
          <w:b/>
          <w:sz w:val="24"/>
          <w:szCs w:val="24"/>
        </w:rPr>
      </w:pPr>
      <w:r>
        <w:rPr>
          <w:b/>
          <w:sz w:val="24"/>
          <w:szCs w:val="24"/>
        </w:rPr>
        <w:t>2.</w:t>
      </w:r>
      <w:r w:rsidR="00C631AA">
        <w:rPr>
          <w:b/>
          <w:sz w:val="24"/>
          <w:szCs w:val="24"/>
        </w:rPr>
        <w:t>3</w:t>
      </w:r>
      <w:r w:rsidR="00C631AA" w:rsidRPr="00D609FD">
        <w:rPr>
          <w:b/>
          <w:sz w:val="24"/>
          <w:szCs w:val="24"/>
        </w:rPr>
        <w:t xml:space="preserve"> </w:t>
      </w:r>
      <w:r>
        <w:rPr>
          <w:b/>
          <w:sz w:val="24"/>
          <w:szCs w:val="24"/>
        </w:rPr>
        <w:t>UCI Format</w:t>
      </w:r>
      <w:r w:rsidR="0045778E">
        <w:rPr>
          <w:b/>
          <w:sz w:val="24"/>
          <w:szCs w:val="24"/>
        </w:rPr>
        <w:t xml:space="preserve"> </w:t>
      </w:r>
    </w:p>
    <w:p w14:paraId="36B2DA54" w14:textId="595805BA" w:rsidR="00C20939" w:rsidRDefault="00077862" w:rsidP="00C20939">
      <w:pPr>
        <w:jc w:val="both"/>
        <w:rPr>
          <w:rFonts w:cs="Times"/>
          <w:lang w:eastAsia="x-none"/>
        </w:rPr>
      </w:pPr>
      <w:r>
        <w:t xml:space="preserve">The UCI format used by the UEs for configured grants operation in NR-U needs to contain enough information such that the UE can inform the gNB of the UE </w:t>
      </w:r>
      <w:r w:rsidR="000C488E">
        <w:t>behaviours</w:t>
      </w:r>
      <w:r>
        <w:t xml:space="preserve"> when it acquires the COT</w:t>
      </w:r>
      <w:r w:rsidR="00921D80">
        <w:t xml:space="preserve">, </w:t>
      </w:r>
      <w:r>
        <w:t xml:space="preserve">and begins to transmit along the PUSCH. </w:t>
      </w:r>
      <w:r w:rsidR="00C20939">
        <w:rPr>
          <w:rFonts w:cs="Times"/>
          <w:lang w:eastAsia="x-none"/>
        </w:rPr>
        <w:t xml:space="preserve">In order to make a CG reception more reliable, the UCI should be carried in every slot of a CG burst: carrying the UCI on some specific slot of a CG burst might limit performance of this type of UL transmission, since the reception of the whole burst will be conditional to the successful reception of the UCI transmitted on specific slots. </w:t>
      </w:r>
    </w:p>
    <w:p w14:paraId="4F468C70" w14:textId="73054A3B" w:rsidR="00C20939" w:rsidRPr="00DA1A86" w:rsidRDefault="00C20939" w:rsidP="00C20939">
      <w:pPr>
        <w:rPr>
          <w:b/>
          <w:lang w:val="en-US"/>
        </w:rPr>
      </w:pPr>
      <w:r w:rsidRPr="00DA1A86">
        <w:rPr>
          <w:b/>
          <w:lang w:val="en-US"/>
        </w:rPr>
        <w:t xml:space="preserve">Proposal </w:t>
      </w:r>
      <w:r w:rsidR="00E92357">
        <w:rPr>
          <w:b/>
          <w:lang w:val="en-US"/>
        </w:rPr>
        <w:t>7</w:t>
      </w:r>
      <w:r w:rsidRPr="00DA1A86">
        <w:rPr>
          <w:b/>
          <w:lang w:val="en-US"/>
        </w:rPr>
        <w:t xml:space="preserve">: </w:t>
      </w:r>
      <w:r>
        <w:rPr>
          <w:b/>
          <w:lang w:val="en-US"/>
        </w:rPr>
        <w:t>In a CG UL transmission, the UCI is transmitted in every slot.</w:t>
      </w:r>
    </w:p>
    <w:p w14:paraId="23B746E0" w14:textId="0A5227F8" w:rsidR="00C20939" w:rsidRDefault="00F7789D" w:rsidP="00921D80">
      <w:pPr>
        <w:jc w:val="both"/>
        <w:rPr>
          <w:rFonts w:cs="Times"/>
          <w:lang w:eastAsia="x-none"/>
        </w:rPr>
      </w:pPr>
      <w:r>
        <w:t xml:space="preserve">During the </w:t>
      </w:r>
      <w:r w:rsidR="00921D80">
        <w:t xml:space="preserve">previous RAN1 </w:t>
      </w:r>
      <w:r w:rsidR="00921D80">
        <w:rPr>
          <w:kern w:val="2"/>
          <w:lang w:val="en-US" w:eastAsia="ko-KR"/>
        </w:rPr>
        <w:t xml:space="preserve">#AH 1901 </w:t>
      </w:r>
      <w:r w:rsidR="00921D80">
        <w:t>meeting</w:t>
      </w:r>
      <w:r>
        <w:t xml:space="preserve">, it was </w:t>
      </w:r>
      <w:r w:rsidR="00E85C04">
        <w:t xml:space="preserve">agreed </w:t>
      </w:r>
      <w:r>
        <w:t xml:space="preserve">that </w:t>
      </w:r>
      <w:r w:rsidR="00C521CC">
        <w:t xml:space="preserve">the </w:t>
      </w:r>
      <w:r>
        <w:t xml:space="preserve">UCI </w:t>
      </w:r>
      <w:r w:rsidR="00E85C04">
        <w:t>include</w:t>
      </w:r>
      <w:r w:rsidR="00921D80">
        <w:t>s at least</w:t>
      </w:r>
      <w:r w:rsidR="00E85C04">
        <w:t xml:space="preserve"> </w:t>
      </w:r>
      <w:r w:rsidR="00921D80">
        <w:t xml:space="preserve">the </w:t>
      </w:r>
      <w:r w:rsidR="00E85C04">
        <w:t xml:space="preserve">HARQ process ID, </w:t>
      </w:r>
      <w:r w:rsidR="00921D80">
        <w:rPr>
          <w:rFonts w:cs="Times"/>
          <w:lang w:eastAsia="x-none"/>
        </w:rPr>
        <w:t>NDI, RV, and COT sharing information. During th</w:t>
      </w:r>
      <w:r w:rsidR="00C521CC">
        <w:rPr>
          <w:rFonts w:cs="Times"/>
          <w:lang w:eastAsia="x-none"/>
        </w:rPr>
        <w:t>e same</w:t>
      </w:r>
      <w:r w:rsidR="00921D80">
        <w:rPr>
          <w:rFonts w:cs="Times"/>
          <w:lang w:eastAsia="x-none"/>
        </w:rPr>
        <w:t xml:space="preserve"> meeting</w:t>
      </w:r>
      <w:r w:rsidR="00C631AA">
        <w:rPr>
          <w:rFonts w:cs="Times"/>
          <w:lang w:eastAsia="x-none"/>
        </w:rPr>
        <w:t>,</w:t>
      </w:r>
      <w:r w:rsidR="00921D80">
        <w:rPr>
          <w:rFonts w:cs="Times"/>
          <w:lang w:eastAsia="x-none"/>
        </w:rPr>
        <w:t xml:space="preserve"> it was left for future study </w:t>
      </w:r>
      <w:r w:rsidR="00C521CC">
        <w:rPr>
          <w:rFonts w:cs="Times"/>
          <w:lang w:eastAsia="x-none"/>
        </w:rPr>
        <w:t xml:space="preserve">on </w:t>
      </w:r>
      <w:r w:rsidR="00921D80">
        <w:rPr>
          <w:rFonts w:cs="Times"/>
          <w:lang w:eastAsia="x-none"/>
        </w:rPr>
        <w:t>whether the UE-ID should be provided explicitly in the UCI or not.</w:t>
      </w:r>
      <w:r w:rsidR="00C521CC">
        <w:rPr>
          <w:rFonts w:cs="Times"/>
          <w:lang w:eastAsia="x-none"/>
        </w:rPr>
        <w:t xml:space="preserve"> In this matter, providing explicitly the UE-ID within the UCI ensures a more reliable detection of this critical information, which is necessary to decode the UL-SCH. In fact, if the UE-ID would not be carried in the UCI, another alternative is to </w:t>
      </w:r>
      <w:r w:rsidR="00C631AA">
        <w:rPr>
          <w:rFonts w:cs="Times"/>
          <w:lang w:eastAsia="x-none"/>
        </w:rPr>
        <w:t>scramble</w:t>
      </w:r>
      <w:r w:rsidR="00C521CC">
        <w:rPr>
          <w:rFonts w:cs="Times"/>
          <w:lang w:eastAsia="x-none"/>
        </w:rPr>
        <w:t xml:space="preserve"> this information with the CRC of the UCI. In this last option, </w:t>
      </w:r>
      <w:r w:rsidR="00C631AA">
        <w:rPr>
          <w:rFonts w:cs="Times"/>
          <w:lang w:eastAsia="x-none"/>
        </w:rPr>
        <w:t xml:space="preserve">due to the fact that the gNB would need to perform a large number of hypothesis testing, the reliability of this information would be impacted by false detection. That said, it is preferable to explicitly carry the UE-ID directly within the UCI, and scramble the CRC of the UCI with a cell-specific </w:t>
      </w:r>
      <w:r w:rsidR="00C20939">
        <w:rPr>
          <w:rFonts w:cs="Times"/>
          <w:lang w:eastAsia="x-none"/>
        </w:rPr>
        <w:t>value</w:t>
      </w:r>
      <w:r w:rsidR="00C631AA">
        <w:rPr>
          <w:rFonts w:cs="Times"/>
          <w:lang w:eastAsia="x-none"/>
        </w:rPr>
        <w:t>.</w:t>
      </w:r>
    </w:p>
    <w:p w14:paraId="18943A4E" w14:textId="195D9B48" w:rsidR="009A0F06" w:rsidRDefault="00F7789D" w:rsidP="009A0F06">
      <w:pPr>
        <w:jc w:val="both"/>
      </w:pPr>
      <w:r>
        <w:t xml:space="preserve">For PUSCH duration, Rel-15 NR provides sufficient flexibility. </w:t>
      </w:r>
      <w:r w:rsidR="00214252">
        <w:t>Depending on the PUSCH mapping type, the possible symbol starting point for a PUSCH can be anywhere from OS #0-1</w:t>
      </w:r>
      <w:r w:rsidR="007B2282">
        <w:t>3</w:t>
      </w:r>
      <w:r w:rsidR="00214252">
        <w:t>, and the length of the PUSCH can be anywhere from 1-14 OFDM symbols.</w:t>
      </w:r>
      <w:r w:rsidR="00C631AA">
        <w:t xml:space="preserve"> However, </w:t>
      </w:r>
      <w:r w:rsidR="009A0F06">
        <w:t xml:space="preserve">having multiple starting symbols and lengths for CG transmissions pose several issues: i) increases the </w:t>
      </w:r>
      <w:r w:rsidR="009A0F06">
        <w:lastRenderedPageBreak/>
        <w:t xml:space="preserve">blind detections and hypothesis testing needed at the gNB; ii) increases the complexity at the UE, since the UE needs to prepare in advance for multiple PUSCH transmissions based on the starting points and lengths, and it needs to quickly react to the LBT outcome; iii) by having multiple starting symbols the blocking among devices might be augment, when the UEs operate in partial bandwidth; iv) larger overhead if UCI is transmitted in all slot of a CG PUSCH burst. Since as described in Sec. 2.2, in order to mitigate interference and blocking among devices, multiple intra-symbol offset may be introduced, which span up to the second OFDM symbol for SCS of 30 and 60 KHz, the transmission may potentially start at symbol #0 (for later slot than the initial slot), symbol #1 or #2 (depending on the offset that is used and the SCS of the PUSCH transmission). In order to facilitate the gNB decoding, similarly as done for </w:t>
      </w:r>
      <w:proofErr w:type="spellStart"/>
      <w:r w:rsidR="009A0F06">
        <w:t>FeLAA</w:t>
      </w:r>
      <w:proofErr w:type="spellEnd"/>
      <w:r w:rsidR="009A0F06">
        <w:t>, the starting symbol can be explicitly signalled within the UCI through the use of two bits.</w:t>
      </w:r>
    </w:p>
    <w:p w14:paraId="2B4B36E2" w14:textId="3A7F169F" w:rsidR="009A0F06" w:rsidRDefault="009A0F06" w:rsidP="009A0F06">
      <w:pPr>
        <w:jc w:val="both"/>
      </w:pPr>
      <w:r>
        <w:t xml:space="preserve">As for the ending positions, as for </w:t>
      </w:r>
      <w:proofErr w:type="spellStart"/>
      <w:r>
        <w:t>FeLAA</w:t>
      </w:r>
      <w:proofErr w:type="spellEnd"/>
      <w:r>
        <w:t xml:space="preserve">, only the last one or two symbols, depending on the subcarrier spacing (one symbol is sufficient for CG transmissions operating with 15 or 30 KHz subcarrier spacing, and two symbols are instead needed when operating with 60 KHz subcarrier spacing), of the last slot of a CG burst should be left unused to leave 25us LBT gap. </w:t>
      </w:r>
      <w:r w:rsidR="00C20939">
        <w:t xml:space="preserve">In this matter, to simply the </w:t>
      </w:r>
      <w:proofErr w:type="spellStart"/>
      <w:r w:rsidR="00C20939">
        <w:t>gNB’s</w:t>
      </w:r>
      <w:proofErr w:type="spellEnd"/>
      <w:r w:rsidR="00C20939">
        <w:t xml:space="preserve"> operation, the UCI can contain one bit indication, which indicates whether the current slot is the last slot of a CG burst or not.</w:t>
      </w:r>
    </w:p>
    <w:p w14:paraId="3F84E89D" w14:textId="371AC5F7" w:rsidR="005577AE" w:rsidRPr="00903716" w:rsidRDefault="0045778E" w:rsidP="00214252">
      <w:pPr>
        <w:jc w:val="both"/>
        <w:rPr>
          <w:b/>
        </w:rPr>
      </w:pPr>
      <w:r w:rsidRPr="00903716">
        <w:rPr>
          <w:b/>
        </w:rPr>
        <w:t xml:space="preserve">Proposal </w:t>
      </w:r>
      <w:r w:rsidR="00E92357">
        <w:rPr>
          <w:b/>
        </w:rPr>
        <w:t>8</w:t>
      </w:r>
      <w:r w:rsidRPr="00903716">
        <w:rPr>
          <w:b/>
        </w:rPr>
        <w:t xml:space="preserve">: Together with the HARQ-ID, NDI, RV, and COT sharing information, the CG-UCI contains also the UE-ID, </w:t>
      </w:r>
      <w:r w:rsidR="00C20939">
        <w:rPr>
          <w:b/>
        </w:rPr>
        <w:t xml:space="preserve">and the </w:t>
      </w:r>
      <w:r w:rsidRPr="00903716">
        <w:rPr>
          <w:b/>
        </w:rPr>
        <w:t xml:space="preserve">indication of </w:t>
      </w:r>
      <w:r w:rsidR="00C20939">
        <w:rPr>
          <w:b/>
        </w:rPr>
        <w:t xml:space="preserve">the </w:t>
      </w:r>
      <w:r w:rsidRPr="00903716">
        <w:rPr>
          <w:b/>
        </w:rPr>
        <w:t>PUSCH starting and ending slot.</w:t>
      </w:r>
    </w:p>
    <w:p w14:paraId="1A4DF56A" w14:textId="77777777" w:rsidR="0045778E" w:rsidRDefault="0045778E" w:rsidP="00214252">
      <w:pPr>
        <w:jc w:val="both"/>
      </w:pPr>
    </w:p>
    <w:p w14:paraId="611B80CD" w14:textId="4F266EC2" w:rsidR="00860BEF" w:rsidRDefault="00860BEF" w:rsidP="00860BEF">
      <w:pPr>
        <w:pStyle w:val="Heading2"/>
        <w:rPr>
          <w:b/>
          <w:sz w:val="24"/>
          <w:szCs w:val="24"/>
        </w:rPr>
      </w:pPr>
      <w:r>
        <w:rPr>
          <w:b/>
          <w:sz w:val="24"/>
          <w:szCs w:val="24"/>
        </w:rPr>
        <w:t>2.</w:t>
      </w:r>
      <w:r w:rsidR="00C631AA">
        <w:rPr>
          <w:b/>
          <w:sz w:val="24"/>
          <w:szCs w:val="24"/>
        </w:rPr>
        <w:t xml:space="preserve">4 </w:t>
      </w:r>
      <w:r>
        <w:rPr>
          <w:b/>
          <w:sz w:val="24"/>
          <w:szCs w:val="24"/>
        </w:rPr>
        <w:t>HARQ Format and Related Procedures</w:t>
      </w:r>
      <w:r w:rsidR="0045778E">
        <w:rPr>
          <w:b/>
          <w:sz w:val="24"/>
          <w:szCs w:val="24"/>
        </w:rPr>
        <w:t xml:space="preserve"> </w:t>
      </w:r>
    </w:p>
    <w:p w14:paraId="0955E728" w14:textId="4C85F825" w:rsidR="006B5310" w:rsidRPr="006B5310" w:rsidRDefault="006B5310" w:rsidP="00FB2503">
      <w:pPr>
        <w:jc w:val="both"/>
      </w:pPr>
      <w:r>
        <w:t xml:space="preserve">In </w:t>
      </w:r>
      <w:proofErr w:type="spellStart"/>
      <w:r w:rsidRPr="006B5310">
        <w:t>FeLAA</w:t>
      </w:r>
      <w:proofErr w:type="spellEnd"/>
      <w:r w:rsidRPr="006B5310">
        <w:t xml:space="preserve"> AUL, </w:t>
      </w:r>
      <w:r w:rsidR="002A1D32">
        <w:t>following schemes are</w:t>
      </w:r>
      <w:r w:rsidRPr="006B5310">
        <w:t xml:space="preserve"> supported for the retransmission of a </w:t>
      </w:r>
      <w:r w:rsidR="00AA69B2">
        <w:t>transport block</w:t>
      </w:r>
      <w:r w:rsidRPr="006B5310">
        <w:t xml:space="preserve">, </w:t>
      </w:r>
    </w:p>
    <w:p w14:paraId="462FFF14" w14:textId="05AE1717" w:rsidR="006B5310" w:rsidRDefault="006B5310" w:rsidP="00DA1A86">
      <w:pPr>
        <w:pStyle w:val="ListParagraph"/>
        <w:numPr>
          <w:ilvl w:val="0"/>
          <w:numId w:val="46"/>
        </w:numPr>
        <w:jc w:val="both"/>
      </w:pPr>
      <w:r>
        <w:rPr>
          <w:rFonts w:ascii="Times New Roman" w:hAnsi="Times New Roman"/>
          <w:sz w:val="20"/>
          <w:szCs w:val="20"/>
        </w:rPr>
        <w:t>A scheduling grant is used to trigger retransmission for the HARQ process;</w:t>
      </w:r>
    </w:p>
    <w:p w14:paraId="6F95BAC7" w14:textId="56122BD7" w:rsidR="006B5310" w:rsidRDefault="006B5310" w:rsidP="00DA1A86">
      <w:pPr>
        <w:pStyle w:val="ListParagraph"/>
        <w:numPr>
          <w:ilvl w:val="0"/>
          <w:numId w:val="46"/>
        </w:numPr>
        <w:jc w:val="both"/>
      </w:pPr>
      <w:r>
        <w:rPr>
          <w:rFonts w:ascii="Times New Roman" w:hAnsi="Times New Roman"/>
          <w:sz w:val="20"/>
          <w:szCs w:val="20"/>
        </w:rPr>
        <w:t>DFI is introduced to indicate HARQ-ACK information;</w:t>
      </w:r>
    </w:p>
    <w:p w14:paraId="14B3F1CE" w14:textId="635601CC" w:rsidR="006B5310" w:rsidRPr="00D86DB0" w:rsidRDefault="006B5310" w:rsidP="00DA1A86">
      <w:pPr>
        <w:pStyle w:val="ListParagraph"/>
        <w:numPr>
          <w:ilvl w:val="0"/>
          <w:numId w:val="46"/>
        </w:numPr>
        <w:jc w:val="both"/>
      </w:pPr>
      <w:r>
        <w:rPr>
          <w:rFonts w:ascii="Times New Roman" w:hAnsi="Times New Roman"/>
          <w:sz w:val="20"/>
          <w:szCs w:val="20"/>
        </w:rPr>
        <w:t>There is a timer</w:t>
      </w:r>
      <w:r w:rsidR="003C36B1">
        <w:rPr>
          <w:rFonts w:ascii="Times New Roman" w:hAnsi="Times New Roman"/>
          <w:sz w:val="20"/>
          <w:szCs w:val="20"/>
        </w:rPr>
        <w:t xml:space="preserve"> defined</w:t>
      </w:r>
      <w:r>
        <w:rPr>
          <w:rFonts w:ascii="Times New Roman" w:hAnsi="Times New Roman"/>
          <w:sz w:val="20"/>
          <w:szCs w:val="20"/>
        </w:rPr>
        <w:t xml:space="preserve"> </w:t>
      </w:r>
      <w:r w:rsidR="003C36B1">
        <w:rPr>
          <w:rFonts w:ascii="Times New Roman" w:hAnsi="Times New Roman"/>
          <w:sz w:val="20"/>
          <w:szCs w:val="20"/>
        </w:rPr>
        <w:t xml:space="preserve">and </w:t>
      </w:r>
      <w:r>
        <w:rPr>
          <w:rFonts w:ascii="Times New Roman" w:hAnsi="Times New Roman"/>
          <w:sz w:val="20"/>
          <w:szCs w:val="20"/>
        </w:rPr>
        <w:t>retransmission can be performed by</w:t>
      </w:r>
      <w:r w:rsidRPr="00DA1A86">
        <w:rPr>
          <w:rFonts w:ascii="Times New Roman" w:hAnsi="Times New Roman"/>
          <w:sz w:val="20"/>
          <w:szCs w:val="20"/>
        </w:rPr>
        <w:t xml:space="preserve"> </w:t>
      </w:r>
      <w:r>
        <w:rPr>
          <w:rFonts w:ascii="Times New Roman" w:hAnsi="Times New Roman"/>
          <w:sz w:val="20"/>
          <w:szCs w:val="20"/>
        </w:rPr>
        <w:t>UE once the timer expire</w:t>
      </w:r>
      <w:r w:rsidR="003C36B1">
        <w:rPr>
          <w:rFonts w:ascii="Times New Roman" w:hAnsi="Times New Roman"/>
          <w:sz w:val="20"/>
          <w:szCs w:val="20"/>
        </w:rPr>
        <w:t>s</w:t>
      </w:r>
      <w:r>
        <w:rPr>
          <w:rFonts w:ascii="Times New Roman" w:hAnsi="Times New Roman"/>
          <w:sz w:val="20"/>
          <w:szCs w:val="20"/>
        </w:rPr>
        <w:t xml:space="preserve">. </w:t>
      </w:r>
    </w:p>
    <w:p w14:paraId="60A8AEE6" w14:textId="77777777" w:rsidR="002A1D32" w:rsidRDefault="002A1D32" w:rsidP="00FB2503">
      <w:pPr>
        <w:jc w:val="both"/>
      </w:pPr>
    </w:p>
    <w:p w14:paraId="1228B78B" w14:textId="40BE2050" w:rsidR="006B5310" w:rsidRDefault="006B5310" w:rsidP="00FB2503">
      <w:pPr>
        <w:jc w:val="both"/>
      </w:pPr>
      <w:r>
        <w:t xml:space="preserve">When one of </w:t>
      </w:r>
      <w:r w:rsidR="00AA69B2">
        <w:t xml:space="preserve">the </w:t>
      </w:r>
      <w:r>
        <w:t xml:space="preserve">above cases happens, </w:t>
      </w:r>
      <w:r w:rsidR="00AA69B2">
        <w:t xml:space="preserve">a </w:t>
      </w:r>
      <w:r>
        <w:t>UE can do retransmission for the TB by setting</w:t>
      </w:r>
      <w:r w:rsidR="002A1D32">
        <w:t xml:space="preserve"> the</w:t>
      </w:r>
      <w:r>
        <w:t xml:space="preserve"> same HARQ process number </w:t>
      </w:r>
      <w:r w:rsidR="00AA69B2">
        <w:t>and not toggling</w:t>
      </w:r>
      <w:r>
        <w:t xml:space="preserve"> </w:t>
      </w:r>
      <w:r w:rsidR="002A1D32">
        <w:t xml:space="preserve">the </w:t>
      </w:r>
      <w:r>
        <w:t>NDI in</w:t>
      </w:r>
      <w:r w:rsidR="002A1D32">
        <w:t xml:space="preserve"> the</w:t>
      </w:r>
      <w:r>
        <w:t xml:space="preserve"> </w:t>
      </w:r>
      <w:r w:rsidR="002A1D32">
        <w:t>AUL-</w:t>
      </w:r>
      <w:r>
        <w:t xml:space="preserve">UCI. </w:t>
      </w:r>
      <w:r w:rsidR="00745EE8">
        <w:t xml:space="preserve">However, in </w:t>
      </w:r>
      <w:r w:rsidR="003C36B1">
        <w:t xml:space="preserve">Rel-15 </w:t>
      </w:r>
      <w:r w:rsidR="00745EE8">
        <w:t xml:space="preserve">NR-U, </w:t>
      </w:r>
      <w:r w:rsidR="00AA69B2">
        <w:t>configured grant involves repeated transmissions without the explicit ACK-ACK. If rep</w:t>
      </w:r>
      <w:r w:rsidR="007E334F">
        <w:t>-</w:t>
      </w:r>
      <w:r w:rsidR="00AA69B2">
        <w:t xml:space="preserve">K is configured as more than 1, </w:t>
      </w:r>
      <w:r w:rsidR="00745EE8">
        <w:t>after rep</w:t>
      </w:r>
      <w:r w:rsidR="007E334F">
        <w:t>-</w:t>
      </w:r>
      <w:r w:rsidR="00745EE8">
        <w:t xml:space="preserve">K repetition of the TB is transmitted, if there is no response from gNB, </w:t>
      </w:r>
      <w:r w:rsidR="00AA69B2">
        <w:t xml:space="preserve">the </w:t>
      </w:r>
      <w:r w:rsidR="00745EE8">
        <w:t>UE consider</w:t>
      </w:r>
      <w:r w:rsidR="00AA69B2">
        <w:t>s that</w:t>
      </w:r>
      <w:r w:rsidR="00745EE8">
        <w:t xml:space="preserve"> the TB is correctly received.</w:t>
      </w:r>
      <w:r w:rsidR="00AA69B2">
        <w:t xml:space="preserve"> However, for NR-U, d</w:t>
      </w:r>
      <w:r w:rsidR="00745EE8">
        <w:t xml:space="preserve">ue to potential interference from </w:t>
      </w:r>
      <w:r w:rsidR="00AA69B2">
        <w:t>other</w:t>
      </w:r>
      <w:r w:rsidR="00745EE8">
        <w:t xml:space="preserve"> nodes, the probability for </w:t>
      </w:r>
      <w:r w:rsidR="00AA69B2">
        <w:t>erroneous</w:t>
      </w:r>
      <w:r w:rsidR="00745EE8">
        <w:t xml:space="preserve"> reception</w:t>
      </w:r>
      <w:r w:rsidR="00AA69B2">
        <w:t xml:space="preserve"> of configured grant</w:t>
      </w:r>
      <w:r w:rsidR="00745EE8">
        <w:t xml:space="preserve"> is increased</w:t>
      </w:r>
      <w:r w:rsidR="00AA69B2">
        <w:t xml:space="preserve"> at gNB. Therefore, </w:t>
      </w:r>
      <w:r w:rsidR="00745EE8">
        <w:t xml:space="preserve">it is preferred to adopt </w:t>
      </w:r>
      <w:proofErr w:type="spellStart"/>
      <w:r w:rsidR="00745EE8">
        <w:t>FeLAA</w:t>
      </w:r>
      <w:proofErr w:type="spellEnd"/>
      <w:r w:rsidR="00745EE8">
        <w:t>-like behaviour for the retransmissions</w:t>
      </w:r>
      <w:r w:rsidR="00AA69B2">
        <w:t>, which is based on explicit feedback</w:t>
      </w:r>
      <w:r w:rsidR="00745EE8">
        <w:t xml:space="preserve">. </w:t>
      </w:r>
    </w:p>
    <w:p w14:paraId="0339E6A1" w14:textId="61CD8E55" w:rsidR="00FB2503" w:rsidRDefault="00FB2503" w:rsidP="00FB2503">
      <w:pPr>
        <w:jc w:val="both"/>
      </w:pPr>
      <w:r>
        <w:t xml:space="preserve">In </w:t>
      </w:r>
      <w:proofErr w:type="spellStart"/>
      <w:r>
        <w:t>FeLAA</w:t>
      </w:r>
      <w:proofErr w:type="spellEnd"/>
      <w:r>
        <w:t xml:space="preserve"> AUL, DFI is introduced to indicate HARQ-ACK for the PUSCH. One HARQ-ACK bit is transmitted for each TB in the DFI. In summary 16 or 32 bits are transmitted in DFI for all HARQ processes for UL TM1 or TM2. </w:t>
      </w:r>
      <w:r w:rsidR="002A1D32">
        <w:t>And</w:t>
      </w:r>
      <w:r w:rsidR="002E7801">
        <w:t xml:space="preserve"> for a HARQ process not configured for </w:t>
      </w:r>
      <w:r w:rsidR="00CF259C">
        <w:t>AUL</w:t>
      </w:r>
      <w:r w:rsidR="002E7801">
        <w:t xml:space="preserve"> transmis</w:t>
      </w:r>
      <w:r w:rsidR="00CF259C">
        <w:t xml:space="preserve">sion, the HARQ-ACK bit is still needs to be </w:t>
      </w:r>
      <w:r w:rsidR="002E7801">
        <w:t>transmitted for CWS adjustment</w:t>
      </w:r>
      <w:r w:rsidR="00CF259C">
        <w:t xml:space="preserve"> purpose</w:t>
      </w:r>
      <w:r w:rsidR="002E7801">
        <w:t>. We believe the same principle</w:t>
      </w:r>
      <w:r w:rsidR="003C36B1">
        <w:t xml:space="preserve"> on </w:t>
      </w:r>
      <w:r w:rsidR="007E334F">
        <w:t xml:space="preserve">DFI that was used in the </w:t>
      </w:r>
      <w:proofErr w:type="spellStart"/>
      <w:r w:rsidR="007E334F">
        <w:t>FeLAA</w:t>
      </w:r>
      <w:proofErr w:type="spellEnd"/>
      <w:r w:rsidR="007E334F">
        <w:t xml:space="preserve"> design</w:t>
      </w:r>
      <w:r w:rsidR="002E7801">
        <w:t xml:space="preserve"> </w:t>
      </w:r>
      <w:r w:rsidR="00CF259C">
        <w:t>can</w:t>
      </w:r>
      <w:r w:rsidR="002E7801">
        <w:t xml:space="preserve"> be </w:t>
      </w:r>
      <w:r w:rsidR="00CF259C">
        <w:t>applicable for</w:t>
      </w:r>
      <w:r w:rsidR="002E7801">
        <w:t xml:space="preserve"> NR-U. </w:t>
      </w:r>
      <w:r w:rsidR="006B5310">
        <w:t xml:space="preserve">However, </w:t>
      </w:r>
      <w:r>
        <w:t xml:space="preserve">a direct extension of the scheme may result in quite large overhead since </w:t>
      </w:r>
      <w:r w:rsidRPr="002F705E">
        <w:t xml:space="preserve">NR-U configured grant based PUSCH could support CBG based transmission. </w:t>
      </w:r>
      <w:r>
        <w:t>Assuming 16 HARQ processes for CG, and each TB has 8 CBGs configured, 128 bits should be carried in DFI</w:t>
      </w:r>
      <w:r w:rsidR="00CF259C">
        <w:t>, which is too large compared to regular DCI size</w:t>
      </w:r>
      <w:r>
        <w:t xml:space="preserve">. Therefore, </w:t>
      </w:r>
      <w:r w:rsidR="002A1D32">
        <w:t>overhead reduction scheme is necessary</w:t>
      </w:r>
      <w:r w:rsidR="00CF259C">
        <w:t xml:space="preserve"> in order to match the DFI size with existing DCI size</w:t>
      </w:r>
      <w:r w:rsidR="00C619C6">
        <w:t xml:space="preserve">. </w:t>
      </w:r>
      <w:r w:rsidR="003275ED">
        <w:t xml:space="preserve"> </w:t>
      </w:r>
      <w:r w:rsidR="00CF259C">
        <w:t>One</w:t>
      </w:r>
      <w:r w:rsidR="002A1D32">
        <w:t xml:space="preserve"> simple way is that</w:t>
      </w:r>
      <w:r w:rsidR="00745EE8">
        <w:t xml:space="preserve"> </w:t>
      </w:r>
      <w:r w:rsidR="002A1D32">
        <w:t xml:space="preserve">only the </w:t>
      </w:r>
      <w:r w:rsidR="00745EE8">
        <w:t>HARQ-ACK</w:t>
      </w:r>
      <w:r w:rsidR="002A1D32">
        <w:t>s</w:t>
      </w:r>
      <w:r w:rsidR="00745EE8">
        <w:t xml:space="preserve"> for a subset of HARQ processes </w:t>
      </w:r>
      <w:r w:rsidR="002A1D32">
        <w:t>are</w:t>
      </w:r>
      <w:r w:rsidR="00745EE8">
        <w:t xml:space="preserve"> transmitted in a </w:t>
      </w:r>
      <w:r w:rsidR="00CF259C">
        <w:t xml:space="preserve">single </w:t>
      </w:r>
      <w:r w:rsidR="00745EE8">
        <w:t>DFI</w:t>
      </w:r>
      <w:r w:rsidR="00CF259C">
        <w:t xml:space="preserve"> and the remaining HARQ-ACKs can be transmitted in different DFIs</w:t>
      </w:r>
      <w:r w:rsidR="00745EE8">
        <w:t>.</w:t>
      </w:r>
    </w:p>
    <w:p w14:paraId="75261F42" w14:textId="2CDFAD1E" w:rsidR="002D351A" w:rsidRPr="00DA1A86" w:rsidRDefault="00FB2503" w:rsidP="00FB2503">
      <w:pPr>
        <w:rPr>
          <w:b/>
          <w:lang w:val="en-US"/>
        </w:rPr>
      </w:pPr>
      <w:r w:rsidRPr="00DA1A86">
        <w:rPr>
          <w:b/>
          <w:lang w:val="en-US"/>
        </w:rPr>
        <w:t xml:space="preserve">Proposal </w:t>
      </w:r>
      <w:r w:rsidR="00E92357">
        <w:rPr>
          <w:b/>
          <w:lang w:val="en-US"/>
        </w:rPr>
        <w:t>9</w:t>
      </w:r>
      <w:r w:rsidRPr="00DA1A86">
        <w:rPr>
          <w:b/>
          <w:lang w:val="en-US"/>
        </w:rPr>
        <w:t xml:space="preserve">: </w:t>
      </w:r>
      <w:r w:rsidR="0045778E">
        <w:rPr>
          <w:b/>
          <w:lang w:val="en-US"/>
        </w:rPr>
        <w:t>S</w:t>
      </w:r>
      <w:r w:rsidR="0045778E" w:rsidRPr="00DA1A86">
        <w:rPr>
          <w:b/>
          <w:lang w:val="en-US"/>
        </w:rPr>
        <w:t xml:space="preserve">upport </w:t>
      </w:r>
      <w:r w:rsidR="002D351A" w:rsidRPr="00DA1A86">
        <w:rPr>
          <w:b/>
          <w:lang w:val="en-US"/>
        </w:rPr>
        <w:t xml:space="preserve">following means for retransmission of CG PSUCH including a DCI scheduling same HARQ process, DFI and a timer. </w:t>
      </w:r>
    </w:p>
    <w:p w14:paraId="1FA66163" w14:textId="1C011C76" w:rsidR="002D351A" w:rsidRPr="00DA1A86" w:rsidRDefault="002D351A" w:rsidP="002D351A">
      <w:pPr>
        <w:rPr>
          <w:b/>
          <w:lang w:val="en-US"/>
        </w:rPr>
      </w:pPr>
      <w:r w:rsidRPr="00DA1A86">
        <w:rPr>
          <w:b/>
          <w:lang w:val="en-US"/>
        </w:rPr>
        <w:t xml:space="preserve">Proposal </w:t>
      </w:r>
      <w:r w:rsidR="00E92357">
        <w:rPr>
          <w:b/>
          <w:lang w:val="en-US"/>
        </w:rPr>
        <w:t>10</w:t>
      </w:r>
      <w:r w:rsidRPr="00DA1A86">
        <w:rPr>
          <w:b/>
          <w:lang w:val="en-US"/>
        </w:rPr>
        <w:t xml:space="preserve">: </w:t>
      </w:r>
      <w:r w:rsidR="00CF259C">
        <w:rPr>
          <w:b/>
          <w:lang w:val="en-US"/>
        </w:rPr>
        <w:t>DFI size should be determined to be similar to DCI size.</w:t>
      </w:r>
    </w:p>
    <w:p w14:paraId="59FD7C31" w14:textId="77777777" w:rsidR="00E97DE4" w:rsidRPr="00DA1A86" w:rsidRDefault="00E97DE4" w:rsidP="00DA1A86">
      <w:pPr>
        <w:rPr>
          <w:lang w:val="en-US"/>
        </w:rPr>
      </w:pPr>
    </w:p>
    <w:p w14:paraId="474CBA61" w14:textId="17C0D5A6" w:rsidR="00E97DE4" w:rsidRDefault="00E97DE4" w:rsidP="00E97DE4">
      <w:pPr>
        <w:pStyle w:val="Heading2"/>
        <w:rPr>
          <w:b/>
          <w:sz w:val="24"/>
          <w:szCs w:val="24"/>
        </w:rPr>
      </w:pPr>
      <w:r>
        <w:rPr>
          <w:b/>
          <w:sz w:val="24"/>
          <w:szCs w:val="24"/>
        </w:rPr>
        <w:t>2.5</w:t>
      </w:r>
      <w:r w:rsidRPr="00D609FD">
        <w:rPr>
          <w:b/>
          <w:sz w:val="24"/>
          <w:szCs w:val="24"/>
        </w:rPr>
        <w:t xml:space="preserve"> </w:t>
      </w:r>
      <w:r>
        <w:rPr>
          <w:b/>
          <w:sz w:val="24"/>
          <w:szCs w:val="24"/>
        </w:rPr>
        <w:t xml:space="preserve">COT sharing procedures </w:t>
      </w:r>
    </w:p>
    <w:p w14:paraId="49432CCF" w14:textId="35C209A0" w:rsidR="00E97DE4" w:rsidRDefault="00E97DE4" w:rsidP="00DA1A86">
      <w:pPr>
        <w:jc w:val="both"/>
      </w:pPr>
      <w:r>
        <w:t xml:space="preserve">There are two general cases for COT sharing for configured grant UEs. One is UE-initiated COT sharing, where the configured grant UE acquires the COT after performing CAT-4 LBT and indicates shared DL resources to the gNB after a certain offset </w:t>
      </w:r>
      <w:r>
        <w:lastRenderedPageBreak/>
        <w:t xml:space="preserve">(known to both UE and gNB). The other case is the gNB-initiated COT, where the gNB acquires the COT after performing CAT-4 LBT, and then signals to UEs that PUSCH is to be transmitted in certain slots during the COT duration. </w:t>
      </w:r>
    </w:p>
    <w:p w14:paraId="565AC49A" w14:textId="71AD960F" w:rsidR="00E97DE4" w:rsidRDefault="00E97DE4" w:rsidP="00DA1A86">
      <w:pPr>
        <w:jc w:val="both"/>
      </w:pPr>
      <w:r>
        <w:t xml:space="preserve">It has been agreed that a configured grant UE that initiates a COT is allowed to share the COT with the gNB. In </w:t>
      </w:r>
      <w:proofErr w:type="spellStart"/>
      <w:r>
        <w:t>FeLAA</w:t>
      </w:r>
      <w:proofErr w:type="spellEnd"/>
      <w:r>
        <w:t xml:space="preserve">, each AUL UE is configured with a COT sharing offset X via RRC </w:t>
      </w:r>
      <w:proofErr w:type="spellStart"/>
      <w:r>
        <w:t>signaling</w:t>
      </w:r>
      <w:proofErr w:type="spellEnd"/>
      <w:r>
        <w:t xml:space="preserve">. During subframe n, the UE indicates in its AUL-UCI a COT sharing indication using one bit, and the </w:t>
      </w:r>
      <w:proofErr w:type="spellStart"/>
      <w:r>
        <w:t>eNB</w:t>
      </w:r>
      <w:proofErr w:type="spellEnd"/>
      <w:r>
        <w:t xml:space="preserve"> knows that at the end of subframe n+X-1, the final symbol in the subframe is blanked, allowing for the </w:t>
      </w:r>
      <w:proofErr w:type="spellStart"/>
      <w:r>
        <w:t>eNB</w:t>
      </w:r>
      <w:proofErr w:type="spellEnd"/>
      <w:r>
        <w:t xml:space="preserve"> to perform LBT and acquire the </w:t>
      </w:r>
      <w:r w:rsidR="00133629">
        <w:t xml:space="preserve">shared </w:t>
      </w:r>
      <w:r>
        <w:t xml:space="preserve">COT for a PDCCH transmission of at most 2 symbols at the beginning of subframe </w:t>
      </w:r>
      <w:proofErr w:type="spellStart"/>
      <w:r>
        <w:t>n+X</w:t>
      </w:r>
      <w:proofErr w:type="spellEnd"/>
      <w:r>
        <w:t xml:space="preserve">, </w:t>
      </w:r>
      <w:r w:rsidR="00BD3550">
        <w:t xml:space="preserve">which can contain </w:t>
      </w:r>
      <w:r>
        <w:t xml:space="preserve">only HARQ feedback and/or </w:t>
      </w:r>
      <w:r w:rsidR="00B42672">
        <w:t xml:space="preserve">uplink </w:t>
      </w:r>
      <w:r>
        <w:t xml:space="preserve">scheduling grants. In NR-U configured grant operation, due to the more flexible starting and ending symbols, multiple numerologies, and gNB downlink transmission enhancements, the COT sharing indication and operation </w:t>
      </w:r>
      <w:r w:rsidR="00B42672">
        <w:t>should</w:t>
      </w:r>
      <w:r>
        <w:t xml:space="preserve"> be enhanced. </w:t>
      </w:r>
    </w:p>
    <w:p w14:paraId="73752F61" w14:textId="12C02E79" w:rsidR="00E97DE4" w:rsidRDefault="00E97DE4" w:rsidP="00DA1A86">
      <w:pPr>
        <w:jc w:val="both"/>
      </w:pPr>
      <w:r>
        <w:t>In order for the UE to share the COT</w:t>
      </w:r>
      <w:r w:rsidR="00E15FB9">
        <w:t>, it needs to</w:t>
      </w:r>
      <w:r>
        <w:t xml:space="preserve"> indicate the </w:t>
      </w:r>
      <w:r w:rsidR="00D67F40">
        <w:t xml:space="preserve">resource for </w:t>
      </w:r>
      <w:r>
        <w:t>shared DL burst in the UE-initiated COT</w:t>
      </w:r>
      <w:r w:rsidR="00E15FB9">
        <w:t xml:space="preserve"> using </w:t>
      </w:r>
      <w:r w:rsidR="00404419">
        <w:t>a</w:t>
      </w:r>
      <w:r w:rsidR="00E15FB9">
        <w:t xml:space="preserve"> </w:t>
      </w:r>
      <w:r w:rsidR="00D67F40">
        <w:t xml:space="preserve">time </w:t>
      </w:r>
      <w:r w:rsidR="00E15FB9">
        <w:t>offset. Unlike the</w:t>
      </w:r>
      <w:r>
        <w:t xml:space="preserve"> </w:t>
      </w:r>
      <w:proofErr w:type="spellStart"/>
      <w:r>
        <w:t>FeLAA</w:t>
      </w:r>
      <w:proofErr w:type="spellEnd"/>
      <w:r w:rsidR="00D67F40">
        <w:t>, where only the first two symbols can be used for DL</w:t>
      </w:r>
      <w:r w:rsidR="00E15FB9">
        <w:t xml:space="preserve">, </w:t>
      </w:r>
      <w:r w:rsidR="00D67F40">
        <w:t>NR-U may need to support</w:t>
      </w:r>
      <w:r w:rsidR="00E15FB9">
        <w:t xml:space="preserve"> more flexible offsets in order to </w:t>
      </w:r>
      <w:r w:rsidR="00D67F40">
        <w:t xml:space="preserve">support flexible DL transmissions. In addition, </w:t>
      </w:r>
      <w:r w:rsidR="00D81C1D">
        <w:t xml:space="preserve">it is desirable that </w:t>
      </w:r>
      <w:r w:rsidR="00D67F40">
        <w:t xml:space="preserve">the duration of the shared DL burst can be flexible compared to </w:t>
      </w:r>
      <w:proofErr w:type="spellStart"/>
      <w:r w:rsidR="00D67F40">
        <w:t>FeLAA</w:t>
      </w:r>
      <w:proofErr w:type="spellEnd"/>
      <w:r w:rsidR="00D67F40">
        <w:t xml:space="preserve">. </w:t>
      </w:r>
    </w:p>
    <w:p w14:paraId="42C833CD" w14:textId="77777777" w:rsidR="00E97DE4" w:rsidRDefault="00E97DE4" w:rsidP="00DA1A86">
      <w:pPr>
        <w:jc w:val="both"/>
      </w:pPr>
    </w:p>
    <w:p w14:paraId="382E0EE0" w14:textId="032CE2C9" w:rsidR="00E97DE4" w:rsidRPr="00DA1A86" w:rsidRDefault="00E97DE4" w:rsidP="00DA1A86">
      <w:pPr>
        <w:jc w:val="both"/>
        <w:rPr>
          <w:b/>
        </w:rPr>
      </w:pPr>
      <w:r w:rsidRPr="00DA1A86">
        <w:rPr>
          <w:b/>
        </w:rPr>
        <w:t xml:space="preserve">Proposal </w:t>
      </w:r>
      <w:r w:rsidR="00E92357">
        <w:rPr>
          <w:b/>
        </w:rPr>
        <w:t>11</w:t>
      </w:r>
      <w:r w:rsidRPr="00DA1A86">
        <w:rPr>
          <w:b/>
        </w:rPr>
        <w:t xml:space="preserve">: </w:t>
      </w:r>
      <w:r w:rsidR="00D67F40">
        <w:rPr>
          <w:b/>
        </w:rPr>
        <w:t xml:space="preserve">Flexible COT sharing is supported for the UE-acquired COT compared to </w:t>
      </w:r>
      <w:proofErr w:type="spellStart"/>
      <w:r w:rsidR="00D67F40">
        <w:rPr>
          <w:b/>
        </w:rPr>
        <w:t>FeLAA</w:t>
      </w:r>
      <w:proofErr w:type="spellEnd"/>
      <w:r w:rsidRPr="00DA1A86">
        <w:rPr>
          <w:b/>
        </w:rPr>
        <w:t xml:space="preserve">. </w:t>
      </w:r>
    </w:p>
    <w:p w14:paraId="39D900AF" w14:textId="77777777" w:rsidR="00146FD1" w:rsidRDefault="00146FD1" w:rsidP="00146FD1">
      <w:pPr>
        <w:pStyle w:val="Heading3"/>
      </w:pPr>
    </w:p>
    <w:p w14:paraId="54FC19C8" w14:textId="77777777" w:rsidR="00146FD1" w:rsidRPr="00820947" w:rsidRDefault="00146FD1" w:rsidP="00146FD1">
      <w:pPr>
        <w:pStyle w:val="Heading1"/>
        <w:rPr>
          <w:b/>
          <w:sz w:val="28"/>
          <w:szCs w:val="28"/>
        </w:rPr>
      </w:pPr>
      <w:r>
        <w:rPr>
          <w:b/>
          <w:sz w:val="28"/>
          <w:szCs w:val="28"/>
        </w:rPr>
        <w:t xml:space="preserve">3 </w:t>
      </w:r>
      <w:r w:rsidRPr="00820947">
        <w:rPr>
          <w:b/>
          <w:sz w:val="28"/>
          <w:szCs w:val="28"/>
        </w:rPr>
        <w:t>Conclusions</w:t>
      </w:r>
    </w:p>
    <w:p w14:paraId="6675F02F" w14:textId="77777777" w:rsidR="00146FD1" w:rsidRDefault="00146FD1" w:rsidP="00903716">
      <w:pPr>
        <w:jc w:val="both"/>
      </w:pPr>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666E127B" w14:textId="77777777" w:rsidR="00537D32" w:rsidRPr="0045778E" w:rsidRDefault="00537D32" w:rsidP="00537D32">
      <w:pPr>
        <w:jc w:val="both"/>
        <w:rPr>
          <w:b/>
        </w:rPr>
      </w:pPr>
      <w:r w:rsidRPr="0045778E">
        <w:rPr>
          <w:b/>
        </w:rPr>
        <w:t xml:space="preserve">Proposal 1: A bitmap of 40-bits length is used, where the bitmap indication is at the slot level. </w:t>
      </w:r>
    </w:p>
    <w:p w14:paraId="1E941D42" w14:textId="77777777" w:rsidR="00537D32" w:rsidRDefault="00537D32" w:rsidP="00537D32">
      <w:pPr>
        <w:jc w:val="both"/>
        <w:rPr>
          <w:b/>
        </w:rPr>
      </w:pPr>
      <w:r w:rsidRPr="0045778E">
        <w:rPr>
          <w:b/>
        </w:rPr>
        <w:t>Proposal 2: PUSCH Type A is the baseline for CG</w:t>
      </w:r>
    </w:p>
    <w:p w14:paraId="4D5C22AE" w14:textId="77777777" w:rsidR="00E92357" w:rsidRPr="00E92357" w:rsidRDefault="00E92357" w:rsidP="00E92357">
      <w:pPr>
        <w:tabs>
          <w:tab w:val="left" w:pos="6290"/>
        </w:tabs>
        <w:jc w:val="both"/>
        <w:rPr>
          <w:b/>
        </w:rPr>
      </w:pPr>
      <w:r w:rsidRPr="00E92357">
        <w:rPr>
          <w:b/>
        </w:rPr>
        <w:t xml:space="preserve">Proposal </w:t>
      </w:r>
      <w:r>
        <w:rPr>
          <w:b/>
        </w:rPr>
        <w:t>3</w:t>
      </w:r>
      <w:r w:rsidRPr="00E92357">
        <w:rPr>
          <w:b/>
        </w:rPr>
        <w:t xml:space="preserve">: </w:t>
      </w:r>
      <w:r w:rsidRPr="00560198">
        <w:rPr>
          <w:b/>
        </w:rPr>
        <w:t>DMRS position should not be impacted by the introduction of multiple starting symbols</w:t>
      </w:r>
    </w:p>
    <w:p w14:paraId="1928130B" w14:textId="4BD2AF0B" w:rsidR="00537D32" w:rsidRDefault="00537D32" w:rsidP="00537D32">
      <w:pPr>
        <w:jc w:val="both"/>
        <w:rPr>
          <w:b/>
        </w:rPr>
      </w:pPr>
      <w:r w:rsidRPr="0045778E">
        <w:rPr>
          <w:b/>
        </w:rPr>
        <w:t xml:space="preserve">Proposal </w:t>
      </w:r>
      <w:r w:rsidR="00E92357">
        <w:rPr>
          <w:b/>
        </w:rPr>
        <w:t>4</w:t>
      </w:r>
      <w:r w:rsidRPr="0045778E">
        <w:rPr>
          <w:b/>
        </w:rPr>
        <w:t>: The SLIV time parameter is modified to indicate the start symbol of the first slot in the uplink transmission burst, and the end symbol of the last slot of the uplink transmission burst.</w:t>
      </w:r>
    </w:p>
    <w:p w14:paraId="536717A7" w14:textId="6C920E69" w:rsidR="00537D32" w:rsidRDefault="00537D32" w:rsidP="00537D32">
      <w:r w:rsidRPr="00734029">
        <w:rPr>
          <w:b/>
        </w:rPr>
        <w:t xml:space="preserve">Proposal </w:t>
      </w:r>
      <w:r w:rsidR="00E92357">
        <w:rPr>
          <w:b/>
        </w:rPr>
        <w:t>5</w:t>
      </w:r>
      <w:r w:rsidRPr="00734029">
        <w:rPr>
          <w:b/>
        </w:rPr>
        <w:t xml:space="preserve">: In order to mitigate collisions and blocking among devices, the </w:t>
      </w:r>
      <w:proofErr w:type="spellStart"/>
      <w:r w:rsidRPr="00734029">
        <w:rPr>
          <w:b/>
        </w:rPr>
        <w:t>FeLAA</w:t>
      </w:r>
      <w:proofErr w:type="spellEnd"/>
      <w:r w:rsidRPr="00734029">
        <w:rPr>
          <w:b/>
        </w:rPr>
        <w:t xml:space="preserve"> approach is reused in NR-U, with the exception that for 30 and 60 KHz SCS the </w:t>
      </w:r>
      <w:proofErr w:type="spellStart"/>
      <w:r w:rsidRPr="00734029">
        <w:rPr>
          <w:b/>
        </w:rPr>
        <w:t>feLAA</w:t>
      </w:r>
      <w:proofErr w:type="spellEnd"/>
      <w:r w:rsidRPr="00734029">
        <w:rPr>
          <w:b/>
        </w:rPr>
        <w:t xml:space="preserve"> offsets are truncated up to the 2nd symbol</w:t>
      </w:r>
      <w:r>
        <w:t>.</w:t>
      </w:r>
    </w:p>
    <w:p w14:paraId="4719EBF1" w14:textId="3A3FD50C" w:rsidR="00537D32" w:rsidRPr="00DA1A86" w:rsidRDefault="00537D32" w:rsidP="00537D32">
      <w:pPr>
        <w:rPr>
          <w:b/>
          <w:lang w:val="en-US"/>
        </w:rPr>
      </w:pPr>
      <w:r w:rsidRPr="00DA1A86">
        <w:rPr>
          <w:b/>
          <w:lang w:val="en-US"/>
        </w:rPr>
        <w:t xml:space="preserve">Proposal </w:t>
      </w:r>
      <w:r w:rsidR="00E92357">
        <w:rPr>
          <w:b/>
          <w:lang w:val="en-US"/>
        </w:rPr>
        <w:t>6</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487D4F7F" w14:textId="77777777" w:rsidR="00537D32" w:rsidRPr="00DA1A86" w:rsidRDefault="00537D32" w:rsidP="00537D32">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0A5F97E7" w14:textId="77777777" w:rsidR="00537D32" w:rsidRPr="00DA1A86" w:rsidRDefault="00537D32" w:rsidP="00537D32">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32774" w14:textId="77777777" w:rsidR="00537D32" w:rsidRPr="00DA1A86" w:rsidRDefault="00537D32" w:rsidP="00537D32">
      <w:pPr>
        <w:pStyle w:val="ListParagraph"/>
        <w:numPr>
          <w:ilvl w:val="0"/>
          <w:numId w:val="42"/>
        </w:numPr>
        <w:rPr>
          <w:b/>
        </w:rPr>
      </w:pPr>
      <w:r w:rsidRPr="00DA1A86">
        <w:rPr>
          <w:rFonts w:ascii="Times New Roman" w:hAnsi="Times New Roman"/>
          <w:b/>
          <w:noProof/>
          <w:sz w:val="20"/>
        </w:rPr>
        <w:t xml:space="preserve">From single UE point of view, if GB PUSCH is scheduled in a slot, CG PUSCH is withdrawn in the same slot. </w:t>
      </w:r>
    </w:p>
    <w:p w14:paraId="4C9D004D" w14:textId="77777777" w:rsidR="00537D32" w:rsidRPr="00721260" w:rsidRDefault="00537D32" w:rsidP="00A57EC9">
      <w:pPr>
        <w:jc w:val="both"/>
        <w:rPr>
          <w:b/>
        </w:rPr>
      </w:pPr>
    </w:p>
    <w:p w14:paraId="30DC54A1" w14:textId="3DDCED6C" w:rsidR="00A57EC9" w:rsidRPr="00DA1A86" w:rsidRDefault="00A57EC9" w:rsidP="00A57EC9">
      <w:pPr>
        <w:rPr>
          <w:b/>
          <w:lang w:val="en-US"/>
        </w:rPr>
      </w:pPr>
      <w:r w:rsidRPr="00DA1A86">
        <w:rPr>
          <w:b/>
          <w:lang w:val="en-US"/>
        </w:rPr>
        <w:t xml:space="preserve">Proposal </w:t>
      </w:r>
      <w:r w:rsidR="00E92357">
        <w:rPr>
          <w:b/>
          <w:lang w:val="en-US"/>
        </w:rPr>
        <w:t>7</w:t>
      </w:r>
      <w:r w:rsidRPr="00DA1A86">
        <w:rPr>
          <w:b/>
          <w:lang w:val="en-US"/>
        </w:rPr>
        <w:t xml:space="preserve">: </w:t>
      </w:r>
      <w:r>
        <w:rPr>
          <w:b/>
          <w:lang w:val="en-US"/>
        </w:rPr>
        <w:t>In a CG UL transmission, the UCI is transmitted in every slot.</w:t>
      </w:r>
    </w:p>
    <w:p w14:paraId="3ED49735" w14:textId="5F8D2DB0" w:rsidR="00A57EC9" w:rsidRPr="00054F3B" w:rsidRDefault="00A57EC9" w:rsidP="00A57EC9">
      <w:pPr>
        <w:jc w:val="both"/>
        <w:rPr>
          <w:b/>
        </w:rPr>
      </w:pPr>
      <w:r w:rsidRPr="00054F3B">
        <w:rPr>
          <w:b/>
        </w:rPr>
        <w:t xml:space="preserve">Proposal </w:t>
      </w:r>
      <w:r w:rsidR="00E92357">
        <w:rPr>
          <w:b/>
        </w:rPr>
        <w:t>8</w:t>
      </w:r>
      <w:r w:rsidRPr="00054F3B">
        <w:rPr>
          <w:b/>
        </w:rPr>
        <w:t xml:space="preserve">: Together with the HARQ-ID, NDI, RV, and COT sharing information, the CG-UCI contains also the UE-ID, </w:t>
      </w:r>
      <w:r>
        <w:rPr>
          <w:b/>
        </w:rPr>
        <w:t xml:space="preserve">and the </w:t>
      </w:r>
      <w:r w:rsidRPr="00054F3B">
        <w:rPr>
          <w:b/>
        </w:rPr>
        <w:t xml:space="preserve">indication of </w:t>
      </w:r>
      <w:r>
        <w:rPr>
          <w:b/>
        </w:rPr>
        <w:t xml:space="preserve">the </w:t>
      </w:r>
      <w:r w:rsidRPr="00054F3B">
        <w:rPr>
          <w:b/>
        </w:rPr>
        <w:t>PUSCH starting and ending slot.</w:t>
      </w:r>
    </w:p>
    <w:p w14:paraId="76D77434" w14:textId="461E9087" w:rsidR="00A57EC9" w:rsidRPr="00DA1A86" w:rsidRDefault="00A57EC9" w:rsidP="00A57EC9">
      <w:pPr>
        <w:rPr>
          <w:b/>
          <w:lang w:val="en-US"/>
        </w:rPr>
      </w:pPr>
      <w:r w:rsidRPr="00DA1A86">
        <w:rPr>
          <w:b/>
          <w:lang w:val="en-US"/>
        </w:rPr>
        <w:t xml:space="preserve">Proposal </w:t>
      </w:r>
      <w:r w:rsidR="00E92357">
        <w:rPr>
          <w:b/>
          <w:lang w:val="en-US"/>
        </w:rPr>
        <w:t>9</w:t>
      </w:r>
      <w:r w:rsidRPr="00DA1A86">
        <w:rPr>
          <w:b/>
          <w:lang w:val="en-US"/>
        </w:rPr>
        <w:t xml:space="preserve">: </w:t>
      </w:r>
      <w:r>
        <w:rPr>
          <w:b/>
          <w:lang w:val="en-US"/>
        </w:rPr>
        <w:t>S</w:t>
      </w:r>
      <w:r w:rsidRPr="00DA1A86">
        <w:rPr>
          <w:b/>
          <w:lang w:val="en-US"/>
        </w:rPr>
        <w:t xml:space="preserve">upport following means for retransmission of CG PSUCH including a DCI scheduling same HARQ process, DFI and a timer. </w:t>
      </w:r>
    </w:p>
    <w:p w14:paraId="34156863" w14:textId="1D9B71D9" w:rsidR="00A57EC9" w:rsidRPr="00DA1A86" w:rsidRDefault="00A57EC9" w:rsidP="00A57EC9">
      <w:pPr>
        <w:rPr>
          <w:b/>
          <w:lang w:val="en-US"/>
        </w:rPr>
      </w:pPr>
      <w:r w:rsidRPr="00DA1A86">
        <w:rPr>
          <w:b/>
          <w:lang w:val="en-US"/>
        </w:rPr>
        <w:t xml:space="preserve">Proposal </w:t>
      </w:r>
      <w:r w:rsidR="00E92357">
        <w:rPr>
          <w:b/>
          <w:lang w:val="en-US"/>
        </w:rPr>
        <w:t>10</w:t>
      </w:r>
      <w:r w:rsidRPr="00DA1A86">
        <w:rPr>
          <w:b/>
          <w:lang w:val="en-US"/>
        </w:rPr>
        <w:t xml:space="preserve">: </w:t>
      </w:r>
      <w:r>
        <w:rPr>
          <w:b/>
          <w:lang w:val="en-US"/>
        </w:rPr>
        <w:t>DFI size should be determined to be similar to DCI size.</w:t>
      </w:r>
    </w:p>
    <w:p w14:paraId="303EBAC7" w14:textId="3CBBEBE3" w:rsidR="00A57EC9" w:rsidRPr="00DA1A86" w:rsidRDefault="00A57EC9" w:rsidP="00A57EC9">
      <w:pPr>
        <w:jc w:val="both"/>
        <w:rPr>
          <w:b/>
        </w:rPr>
      </w:pPr>
      <w:r w:rsidRPr="00DA1A86">
        <w:rPr>
          <w:b/>
        </w:rPr>
        <w:t xml:space="preserve">Proposal </w:t>
      </w:r>
      <w:r>
        <w:rPr>
          <w:b/>
        </w:rPr>
        <w:t>1</w:t>
      </w:r>
      <w:r w:rsidR="00E92357">
        <w:rPr>
          <w:b/>
        </w:rPr>
        <w:t>1</w:t>
      </w:r>
      <w:r w:rsidRPr="00DA1A86">
        <w:rPr>
          <w:b/>
        </w:rPr>
        <w:t xml:space="preserve">: </w:t>
      </w:r>
      <w:r>
        <w:rPr>
          <w:b/>
        </w:rPr>
        <w:t xml:space="preserve">Flexible COT sharing is supported for the UE-acquired COT compared to </w:t>
      </w:r>
      <w:proofErr w:type="spellStart"/>
      <w:r>
        <w:rPr>
          <w:b/>
        </w:rPr>
        <w:t>FeLAA</w:t>
      </w:r>
      <w:proofErr w:type="spellEnd"/>
      <w:r w:rsidRPr="00DA1A86">
        <w:rPr>
          <w:b/>
        </w:rPr>
        <w:t xml:space="preserve">. </w:t>
      </w:r>
    </w:p>
    <w:p w14:paraId="5A6D274F" w14:textId="77777777" w:rsidR="0045778E" w:rsidRPr="00DA1A86" w:rsidRDefault="0045778E" w:rsidP="0045778E">
      <w:pPr>
        <w:jc w:val="both"/>
        <w:rPr>
          <w:b/>
        </w:rPr>
      </w:pPr>
    </w:p>
    <w:p w14:paraId="7EF90DE7" w14:textId="77777777" w:rsidR="00146FD1" w:rsidRPr="00820947" w:rsidRDefault="00146FD1" w:rsidP="00146FD1">
      <w:pPr>
        <w:pStyle w:val="Heading1"/>
        <w:rPr>
          <w:b/>
          <w:sz w:val="28"/>
          <w:szCs w:val="28"/>
        </w:rPr>
      </w:pPr>
      <w:r w:rsidRPr="00820947">
        <w:rPr>
          <w:b/>
          <w:sz w:val="28"/>
          <w:szCs w:val="28"/>
        </w:rPr>
        <w:lastRenderedPageBreak/>
        <w:t>References</w:t>
      </w:r>
    </w:p>
    <w:p w14:paraId="3031C7AF" w14:textId="77777777" w:rsidR="008F5FAD" w:rsidRDefault="008F5FAD" w:rsidP="008F5FAD">
      <w:pPr>
        <w:pStyle w:val="BodyText"/>
      </w:pPr>
      <w:r>
        <w:t xml:space="preserve">[1] RP-182878, “New WID on NR-based Access to Unlicensed Spectrum”, Qualcomm </w:t>
      </w:r>
      <w:proofErr w:type="spellStart"/>
      <w:r>
        <w:t>Inc</w:t>
      </w:r>
      <w:proofErr w:type="spellEnd"/>
      <w:r>
        <w:t xml:space="preserve">, </w:t>
      </w:r>
      <w:r>
        <w:rPr>
          <w:rFonts w:ascii="Times New Roman" w:hAnsi="Times New Roman"/>
          <w:szCs w:val="20"/>
          <w:lang w:eastAsia="zh-CN"/>
        </w:rPr>
        <w:t>3GPP TSG RAN Meeting #82, Dec. 2018.</w:t>
      </w:r>
    </w:p>
    <w:p w14:paraId="1E693D8C" w14:textId="09CBE271" w:rsidR="008F5FAD" w:rsidRDefault="008F5FAD" w:rsidP="008F5FAD">
      <w:pPr>
        <w:pStyle w:val="BodyText"/>
      </w:pPr>
      <w:r>
        <w:t>[2] 3GPP TR 38.889, “Study on NR-based Access to Unlicensed Spectrum (Rel-16),” V 16.0.0, Nov. 2018.</w:t>
      </w:r>
    </w:p>
    <w:p w14:paraId="43A1DE54" w14:textId="6A00B492" w:rsidR="008F5FAD" w:rsidRDefault="008F5FAD" w:rsidP="008F5FAD">
      <w:pPr>
        <w:pStyle w:val="BodyText"/>
        <w:rPr>
          <w:rFonts w:ascii="Times New Roman" w:hAnsi="Times New Roman"/>
          <w:kern w:val="2"/>
          <w:szCs w:val="20"/>
          <w:lang w:eastAsia="ko-KR"/>
        </w:rPr>
      </w:pPr>
      <w:r>
        <w:rPr>
          <w:rFonts w:ascii="Times New Roman" w:hAnsi="Times New Roman"/>
          <w:kern w:val="2"/>
          <w:szCs w:val="20"/>
          <w:lang w:eastAsia="ko-KR"/>
        </w:rPr>
        <w:t>[3] RAN1 Chairman’s note, 3GPP TSG RAN WG1 Meeting #AH 1901, January, 2019</w:t>
      </w:r>
    </w:p>
    <w:p w14:paraId="245582A8" w14:textId="77777777" w:rsidR="00523B62" w:rsidRPr="0060614F" w:rsidRDefault="00523B62" w:rsidP="008342D2">
      <w:pPr>
        <w:pStyle w:val="BodyText"/>
      </w:pPr>
    </w:p>
    <w:sectPr w:rsidR="00523B62" w:rsidRPr="0060614F" w:rsidSect="00D9045F">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4CC0B" w14:textId="77777777" w:rsidR="00920DF9" w:rsidRDefault="00920DF9">
      <w:r>
        <w:separator/>
      </w:r>
    </w:p>
  </w:endnote>
  <w:endnote w:type="continuationSeparator" w:id="0">
    <w:p w14:paraId="13B8A36A" w14:textId="77777777" w:rsidR="00920DF9" w:rsidRDefault="0092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9A0F06" w:rsidRDefault="009A0F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9A0F06" w:rsidRDefault="009A0F0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9A0F06" w:rsidRDefault="009A0F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776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776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14913" w14:textId="77777777" w:rsidR="00920DF9" w:rsidRDefault="00920DF9">
      <w:r>
        <w:separator/>
      </w:r>
    </w:p>
  </w:footnote>
  <w:footnote w:type="continuationSeparator" w:id="0">
    <w:p w14:paraId="618A3F7C" w14:textId="77777777" w:rsidR="00920DF9" w:rsidRDefault="00920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9A0F06" w:rsidRDefault="009A0F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6D1018"/>
    <w:multiLevelType w:val="hybridMultilevel"/>
    <w:tmpl w:val="E4F4E01E"/>
    <w:lvl w:ilvl="0" w:tplc="8F289A5A">
      <w:numFmt w:val="bullet"/>
      <w:lvlText w:val=""/>
      <w:lvlJc w:val="left"/>
      <w:pPr>
        <w:ind w:left="720" w:hanging="360"/>
      </w:pPr>
      <w:rPr>
        <w:rFonts w:ascii="Wingdings" w:eastAsia="바탕"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3906217"/>
    <w:multiLevelType w:val="hybridMultilevel"/>
    <w:tmpl w:val="B89C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24"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FC772A"/>
    <w:multiLevelType w:val="hybridMultilevel"/>
    <w:tmpl w:val="B9D24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209A7"/>
    <w:multiLevelType w:val="hybridMultilevel"/>
    <w:tmpl w:val="E462043E"/>
    <w:lvl w:ilvl="0" w:tplc="4A424C0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777BBE"/>
    <w:multiLevelType w:val="hybridMultilevel"/>
    <w:tmpl w:val="4B58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
  </w:num>
  <w:num w:numId="4">
    <w:abstractNumId w:val="48"/>
  </w:num>
  <w:num w:numId="5">
    <w:abstractNumId w:val="3"/>
  </w:num>
  <w:num w:numId="6">
    <w:abstractNumId w:val="2"/>
  </w:num>
  <w:num w:numId="7">
    <w:abstractNumId w:val="38"/>
  </w:num>
  <w:num w:numId="8">
    <w:abstractNumId w:val="44"/>
  </w:num>
  <w:num w:numId="9">
    <w:abstractNumId w:val="42"/>
  </w:num>
  <w:num w:numId="10">
    <w:abstractNumId w:val="36"/>
  </w:num>
  <w:num w:numId="11">
    <w:abstractNumId w:val="16"/>
  </w:num>
  <w:num w:numId="12">
    <w:abstractNumId w:val="17"/>
    <w:lvlOverride w:ilvl="0">
      <w:startOverride w:val="1"/>
    </w:lvlOverride>
  </w:num>
  <w:num w:numId="13">
    <w:abstractNumId w:val="30"/>
  </w:num>
  <w:num w:numId="14">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39"/>
  </w:num>
  <w:num w:numId="16">
    <w:abstractNumId w:val="35"/>
  </w:num>
  <w:num w:numId="17">
    <w:abstractNumId w:val="24"/>
  </w:num>
  <w:num w:numId="18">
    <w:abstractNumId w:val="23"/>
  </w:num>
  <w:num w:numId="19">
    <w:abstractNumId w:val="47"/>
  </w:num>
  <w:num w:numId="20">
    <w:abstractNumId w:val="5"/>
  </w:num>
  <w:num w:numId="21">
    <w:abstractNumId w:val="15"/>
  </w:num>
  <w:num w:numId="22">
    <w:abstractNumId w:val="19"/>
  </w:num>
  <w:num w:numId="23">
    <w:abstractNumId w:val="34"/>
  </w:num>
  <w:num w:numId="24">
    <w:abstractNumId w:val="33"/>
  </w:num>
  <w:num w:numId="25">
    <w:abstractNumId w:val="27"/>
  </w:num>
  <w:num w:numId="26">
    <w:abstractNumId w:val="50"/>
  </w:num>
  <w:num w:numId="27">
    <w:abstractNumId w:val="29"/>
  </w:num>
  <w:num w:numId="28">
    <w:abstractNumId w:val="32"/>
  </w:num>
  <w:num w:numId="29">
    <w:abstractNumId w:val="18"/>
  </w:num>
  <w:num w:numId="30">
    <w:abstractNumId w:val="9"/>
  </w:num>
  <w:num w:numId="31">
    <w:abstractNumId w:val="10"/>
  </w:num>
  <w:num w:numId="32">
    <w:abstractNumId w:val="11"/>
  </w:num>
  <w:num w:numId="33">
    <w:abstractNumId w:val="46"/>
  </w:num>
  <w:num w:numId="34">
    <w:abstractNumId w:val="26"/>
  </w:num>
  <w:num w:numId="35">
    <w:abstractNumId w:val="9"/>
  </w:num>
  <w:num w:numId="36">
    <w:abstractNumId w:val="43"/>
  </w:num>
  <w:num w:numId="37">
    <w:abstractNumId w:val="6"/>
  </w:num>
  <w:num w:numId="38">
    <w:abstractNumId w:val="13"/>
  </w:num>
  <w:num w:numId="39">
    <w:abstractNumId w:val="7"/>
  </w:num>
  <w:num w:numId="40">
    <w:abstractNumId w:val="45"/>
  </w:num>
  <w:num w:numId="41">
    <w:abstractNumId w:val="37"/>
  </w:num>
  <w:num w:numId="42">
    <w:abstractNumId w:val="41"/>
  </w:num>
  <w:num w:numId="43">
    <w:abstractNumId w:val="49"/>
  </w:num>
  <w:num w:numId="44">
    <w:abstractNumId w:val="40"/>
  </w:num>
  <w:num w:numId="45">
    <w:abstractNumId w:val="28"/>
  </w:num>
  <w:num w:numId="46">
    <w:abstractNumId w:val="31"/>
  </w:num>
  <w:num w:numId="47">
    <w:abstractNumId w:val="21"/>
  </w:num>
  <w:num w:numId="48">
    <w:abstractNumId w:val="22"/>
  </w:num>
  <w:num w:numId="49">
    <w:abstractNumId w:val="8"/>
  </w:num>
  <w:num w:numId="50">
    <w:abstractNumId w:val="25"/>
  </w:num>
  <w:num w:numId="51">
    <w:abstractNumId w:val="12"/>
  </w:num>
  <w:num w:numId="52">
    <w:abstractNumId w:val="19"/>
  </w:num>
  <w:num w:numId="53">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FC4"/>
    <w:rsid w:val="0004516E"/>
    <w:rsid w:val="000451E5"/>
    <w:rsid w:val="000453F6"/>
    <w:rsid w:val="00045B69"/>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271"/>
    <w:rsid w:val="00092334"/>
    <w:rsid w:val="00092C91"/>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785"/>
    <w:rsid w:val="000A1AD3"/>
    <w:rsid w:val="000A1D49"/>
    <w:rsid w:val="000A23B7"/>
    <w:rsid w:val="000A2D70"/>
    <w:rsid w:val="000A310F"/>
    <w:rsid w:val="000A336F"/>
    <w:rsid w:val="000A3A3A"/>
    <w:rsid w:val="000A3ACB"/>
    <w:rsid w:val="000A3F1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5BC"/>
    <w:rsid w:val="000C393F"/>
    <w:rsid w:val="000C3987"/>
    <w:rsid w:val="000C3F16"/>
    <w:rsid w:val="000C3FA2"/>
    <w:rsid w:val="000C4036"/>
    <w:rsid w:val="000C44B7"/>
    <w:rsid w:val="000C488E"/>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217"/>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6FD1"/>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6"/>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BE8"/>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B7E57"/>
    <w:rsid w:val="001C002C"/>
    <w:rsid w:val="001C0085"/>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252"/>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3A"/>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32"/>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6B82"/>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DEA"/>
    <w:rsid w:val="002D6127"/>
    <w:rsid w:val="002D620D"/>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4FA2"/>
    <w:rsid w:val="002E5607"/>
    <w:rsid w:val="002E58E1"/>
    <w:rsid w:val="002E5BDD"/>
    <w:rsid w:val="002E5C56"/>
    <w:rsid w:val="002E679D"/>
    <w:rsid w:val="002E6994"/>
    <w:rsid w:val="002E7321"/>
    <w:rsid w:val="002E7801"/>
    <w:rsid w:val="002E7894"/>
    <w:rsid w:val="002F0045"/>
    <w:rsid w:val="002F00F0"/>
    <w:rsid w:val="002F025B"/>
    <w:rsid w:val="002F0684"/>
    <w:rsid w:val="002F0ADB"/>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5ED"/>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9FE"/>
    <w:rsid w:val="00361B3C"/>
    <w:rsid w:val="0036262C"/>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493"/>
    <w:rsid w:val="003C170C"/>
    <w:rsid w:val="003C1EC9"/>
    <w:rsid w:val="003C270B"/>
    <w:rsid w:val="003C2C9D"/>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1EE4"/>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BA6"/>
    <w:rsid w:val="00403F25"/>
    <w:rsid w:val="00404419"/>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1776D"/>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7"/>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929"/>
    <w:rsid w:val="00442FFB"/>
    <w:rsid w:val="004430FD"/>
    <w:rsid w:val="0044317B"/>
    <w:rsid w:val="004433C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462"/>
    <w:rsid w:val="0049653E"/>
    <w:rsid w:val="00496743"/>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50C"/>
    <w:rsid w:val="004E27DC"/>
    <w:rsid w:val="004E2C41"/>
    <w:rsid w:val="004E2E33"/>
    <w:rsid w:val="004E2EDF"/>
    <w:rsid w:val="004E2F51"/>
    <w:rsid w:val="004E2F60"/>
    <w:rsid w:val="004E32FE"/>
    <w:rsid w:val="004E3368"/>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F35"/>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6D40"/>
    <w:rsid w:val="005074C9"/>
    <w:rsid w:val="00507754"/>
    <w:rsid w:val="00507CAF"/>
    <w:rsid w:val="00507E65"/>
    <w:rsid w:val="00510374"/>
    <w:rsid w:val="00510444"/>
    <w:rsid w:val="005109F8"/>
    <w:rsid w:val="00510B25"/>
    <w:rsid w:val="00510BD9"/>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646"/>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A3C"/>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048"/>
    <w:rsid w:val="005829CC"/>
    <w:rsid w:val="00582E3D"/>
    <w:rsid w:val="00583147"/>
    <w:rsid w:val="005836D0"/>
    <w:rsid w:val="00583AA1"/>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2F1C"/>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3A9"/>
    <w:rsid w:val="0061200C"/>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F7"/>
    <w:rsid w:val="006419ED"/>
    <w:rsid w:val="00641EE8"/>
    <w:rsid w:val="00642505"/>
    <w:rsid w:val="00642D10"/>
    <w:rsid w:val="00643769"/>
    <w:rsid w:val="006437A9"/>
    <w:rsid w:val="00643973"/>
    <w:rsid w:val="00644114"/>
    <w:rsid w:val="00644200"/>
    <w:rsid w:val="0064428B"/>
    <w:rsid w:val="00644511"/>
    <w:rsid w:val="006446BE"/>
    <w:rsid w:val="0064486C"/>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B4"/>
    <w:rsid w:val="00693CA1"/>
    <w:rsid w:val="006943ED"/>
    <w:rsid w:val="0069447C"/>
    <w:rsid w:val="006949AD"/>
    <w:rsid w:val="00694A09"/>
    <w:rsid w:val="00695E95"/>
    <w:rsid w:val="00696074"/>
    <w:rsid w:val="00696244"/>
    <w:rsid w:val="006969D6"/>
    <w:rsid w:val="00696C33"/>
    <w:rsid w:val="0069755C"/>
    <w:rsid w:val="006976A3"/>
    <w:rsid w:val="006979DC"/>
    <w:rsid w:val="00697AA8"/>
    <w:rsid w:val="00697C2C"/>
    <w:rsid w:val="006A01FA"/>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DAD"/>
    <w:rsid w:val="006D7E70"/>
    <w:rsid w:val="006E019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617"/>
    <w:rsid w:val="00700B35"/>
    <w:rsid w:val="007017EA"/>
    <w:rsid w:val="0070181F"/>
    <w:rsid w:val="0070193E"/>
    <w:rsid w:val="00701B27"/>
    <w:rsid w:val="00701EC2"/>
    <w:rsid w:val="007021B2"/>
    <w:rsid w:val="00702BFC"/>
    <w:rsid w:val="007034BC"/>
    <w:rsid w:val="007035F6"/>
    <w:rsid w:val="007036E5"/>
    <w:rsid w:val="007038D5"/>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17BD7"/>
    <w:rsid w:val="0072067A"/>
    <w:rsid w:val="00720759"/>
    <w:rsid w:val="00720BD4"/>
    <w:rsid w:val="00721138"/>
    <w:rsid w:val="007215A9"/>
    <w:rsid w:val="007218A9"/>
    <w:rsid w:val="0072190B"/>
    <w:rsid w:val="007219ED"/>
    <w:rsid w:val="00721E1D"/>
    <w:rsid w:val="00721FFE"/>
    <w:rsid w:val="007221F1"/>
    <w:rsid w:val="00722B72"/>
    <w:rsid w:val="0072370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BD3"/>
    <w:rsid w:val="00727E9F"/>
    <w:rsid w:val="00730302"/>
    <w:rsid w:val="00730E03"/>
    <w:rsid w:val="0073128B"/>
    <w:rsid w:val="00731574"/>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36"/>
    <w:rsid w:val="007750DC"/>
    <w:rsid w:val="0077532F"/>
    <w:rsid w:val="00775330"/>
    <w:rsid w:val="00775BAA"/>
    <w:rsid w:val="00775EFD"/>
    <w:rsid w:val="00775F11"/>
    <w:rsid w:val="007762CD"/>
    <w:rsid w:val="007768F2"/>
    <w:rsid w:val="00776A48"/>
    <w:rsid w:val="00776E9E"/>
    <w:rsid w:val="00777053"/>
    <w:rsid w:val="00777840"/>
    <w:rsid w:val="00777CD9"/>
    <w:rsid w:val="00777EE9"/>
    <w:rsid w:val="0078041D"/>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386C"/>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BF"/>
    <w:rsid w:val="007878F1"/>
    <w:rsid w:val="00787977"/>
    <w:rsid w:val="00787A55"/>
    <w:rsid w:val="00787FF1"/>
    <w:rsid w:val="0079051B"/>
    <w:rsid w:val="00790836"/>
    <w:rsid w:val="007916D2"/>
    <w:rsid w:val="00791ADE"/>
    <w:rsid w:val="00791BEA"/>
    <w:rsid w:val="007926B7"/>
    <w:rsid w:val="00792DB2"/>
    <w:rsid w:val="00792ECC"/>
    <w:rsid w:val="00792F7F"/>
    <w:rsid w:val="007935D6"/>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B7E7B"/>
    <w:rsid w:val="007C02F6"/>
    <w:rsid w:val="007C0880"/>
    <w:rsid w:val="007C0BD2"/>
    <w:rsid w:val="007C0F3A"/>
    <w:rsid w:val="007C1065"/>
    <w:rsid w:val="007C1357"/>
    <w:rsid w:val="007C1537"/>
    <w:rsid w:val="007C16D7"/>
    <w:rsid w:val="007C1B94"/>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F1"/>
    <w:rsid w:val="0082148C"/>
    <w:rsid w:val="0082172C"/>
    <w:rsid w:val="0082231B"/>
    <w:rsid w:val="00823335"/>
    <w:rsid w:val="008237B2"/>
    <w:rsid w:val="008237E7"/>
    <w:rsid w:val="00823F61"/>
    <w:rsid w:val="0082449E"/>
    <w:rsid w:val="008249FF"/>
    <w:rsid w:val="008251EC"/>
    <w:rsid w:val="00825DD4"/>
    <w:rsid w:val="00826204"/>
    <w:rsid w:val="00826D90"/>
    <w:rsid w:val="00827015"/>
    <w:rsid w:val="00827109"/>
    <w:rsid w:val="00827648"/>
    <w:rsid w:val="00827A41"/>
    <w:rsid w:val="00827AF3"/>
    <w:rsid w:val="00827E85"/>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24"/>
    <w:rsid w:val="0089035C"/>
    <w:rsid w:val="008907B2"/>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F9"/>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81B"/>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20F1"/>
    <w:rsid w:val="009A2180"/>
    <w:rsid w:val="009A246A"/>
    <w:rsid w:val="009A2E47"/>
    <w:rsid w:val="009A3183"/>
    <w:rsid w:val="009A37AC"/>
    <w:rsid w:val="009A3AB5"/>
    <w:rsid w:val="009A3C19"/>
    <w:rsid w:val="009A3F61"/>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881"/>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75A4"/>
    <w:rsid w:val="009D7FEB"/>
    <w:rsid w:val="009E01BA"/>
    <w:rsid w:val="009E0AD4"/>
    <w:rsid w:val="009E0FC3"/>
    <w:rsid w:val="009E11A9"/>
    <w:rsid w:val="009E176B"/>
    <w:rsid w:val="009E1B25"/>
    <w:rsid w:val="009E1D4E"/>
    <w:rsid w:val="009E1E13"/>
    <w:rsid w:val="009E1F70"/>
    <w:rsid w:val="009E1FFC"/>
    <w:rsid w:val="009E22EA"/>
    <w:rsid w:val="009E2F97"/>
    <w:rsid w:val="009E3235"/>
    <w:rsid w:val="009E3790"/>
    <w:rsid w:val="009E3AD5"/>
    <w:rsid w:val="009E3B3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670"/>
    <w:rsid w:val="009F187B"/>
    <w:rsid w:val="009F1933"/>
    <w:rsid w:val="009F2E7E"/>
    <w:rsid w:val="009F3A4B"/>
    <w:rsid w:val="009F3C57"/>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A6A"/>
    <w:rsid w:val="00A06BD2"/>
    <w:rsid w:val="00A06F57"/>
    <w:rsid w:val="00A07654"/>
    <w:rsid w:val="00A07B16"/>
    <w:rsid w:val="00A07EA6"/>
    <w:rsid w:val="00A105DB"/>
    <w:rsid w:val="00A106FE"/>
    <w:rsid w:val="00A10764"/>
    <w:rsid w:val="00A10B48"/>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5B68"/>
    <w:rsid w:val="00A362CB"/>
    <w:rsid w:val="00A36694"/>
    <w:rsid w:val="00A371F9"/>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464"/>
    <w:rsid w:val="00A50AED"/>
    <w:rsid w:val="00A50B00"/>
    <w:rsid w:val="00A511FB"/>
    <w:rsid w:val="00A513F5"/>
    <w:rsid w:val="00A514EB"/>
    <w:rsid w:val="00A51575"/>
    <w:rsid w:val="00A521E0"/>
    <w:rsid w:val="00A52B47"/>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17C"/>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AFA"/>
    <w:rsid w:val="00A93BDA"/>
    <w:rsid w:val="00A93E41"/>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199F"/>
    <w:rsid w:val="00AC2D4E"/>
    <w:rsid w:val="00AC2DA4"/>
    <w:rsid w:val="00AC3084"/>
    <w:rsid w:val="00AC3431"/>
    <w:rsid w:val="00AC360F"/>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672"/>
    <w:rsid w:val="00B427E4"/>
    <w:rsid w:val="00B4282F"/>
    <w:rsid w:val="00B42879"/>
    <w:rsid w:val="00B42B17"/>
    <w:rsid w:val="00B42B9A"/>
    <w:rsid w:val="00B430D3"/>
    <w:rsid w:val="00B43236"/>
    <w:rsid w:val="00B432D4"/>
    <w:rsid w:val="00B437BD"/>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224"/>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550"/>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BD9"/>
    <w:rsid w:val="00BF60E3"/>
    <w:rsid w:val="00BF66D0"/>
    <w:rsid w:val="00BF6C19"/>
    <w:rsid w:val="00BF6FBF"/>
    <w:rsid w:val="00BF70A1"/>
    <w:rsid w:val="00BF70F8"/>
    <w:rsid w:val="00BF73D5"/>
    <w:rsid w:val="00BF7B06"/>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21CC"/>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B1A"/>
    <w:rsid w:val="00C76F37"/>
    <w:rsid w:val="00C7731D"/>
    <w:rsid w:val="00C77675"/>
    <w:rsid w:val="00C7799E"/>
    <w:rsid w:val="00C77DF7"/>
    <w:rsid w:val="00C80547"/>
    <w:rsid w:val="00C8198E"/>
    <w:rsid w:val="00C81B30"/>
    <w:rsid w:val="00C82387"/>
    <w:rsid w:val="00C825A9"/>
    <w:rsid w:val="00C83003"/>
    <w:rsid w:val="00C841CE"/>
    <w:rsid w:val="00C841E1"/>
    <w:rsid w:val="00C8534D"/>
    <w:rsid w:val="00C8624E"/>
    <w:rsid w:val="00C86379"/>
    <w:rsid w:val="00C864DB"/>
    <w:rsid w:val="00C86D7E"/>
    <w:rsid w:val="00C8702B"/>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46A"/>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C1D"/>
    <w:rsid w:val="00D81E1E"/>
    <w:rsid w:val="00D81E9C"/>
    <w:rsid w:val="00D820F3"/>
    <w:rsid w:val="00D82986"/>
    <w:rsid w:val="00D829AC"/>
    <w:rsid w:val="00D82C2D"/>
    <w:rsid w:val="00D83401"/>
    <w:rsid w:val="00D83A89"/>
    <w:rsid w:val="00D84268"/>
    <w:rsid w:val="00D846C5"/>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48A0"/>
    <w:rsid w:val="00D94BB0"/>
    <w:rsid w:val="00D94C1A"/>
    <w:rsid w:val="00D94EA5"/>
    <w:rsid w:val="00D94F7A"/>
    <w:rsid w:val="00D94FF3"/>
    <w:rsid w:val="00D957C0"/>
    <w:rsid w:val="00D95A0F"/>
    <w:rsid w:val="00D95BF0"/>
    <w:rsid w:val="00D95BFF"/>
    <w:rsid w:val="00D96193"/>
    <w:rsid w:val="00D96DD2"/>
    <w:rsid w:val="00D97E8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F8"/>
    <w:rsid w:val="00DE61AA"/>
    <w:rsid w:val="00DE6246"/>
    <w:rsid w:val="00DE6481"/>
    <w:rsid w:val="00DE6A5A"/>
    <w:rsid w:val="00DE6AE7"/>
    <w:rsid w:val="00DE7010"/>
    <w:rsid w:val="00DE7012"/>
    <w:rsid w:val="00DE7992"/>
    <w:rsid w:val="00DE7D03"/>
    <w:rsid w:val="00DF02EC"/>
    <w:rsid w:val="00DF0C42"/>
    <w:rsid w:val="00DF0D33"/>
    <w:rsid w:val="00DF0E63"/>
    <w:rsid w:val="00DF1300"/>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37B"/>
    <w:rsid w:val="00E175FF"/>
    <w:rsid w:val="00E17902"/>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D5F"/>
    <w:rsid w:val="00E47D96"/>
    <w:rsid w:val="00E509E6"/>
    <w:rsid w:val="00E50FD7"/>
    <w:rsid w:val="00E50FF0"/>
    <w:rsid w:val="00E51548"/>
    <w:rsid w:val="00E515A3"/>
    <w:rsid w:val="00E51A30"/>
    <w:rsid w:val="00E51E23"/>
    <w:rsid w:val="00E5241D"/>
    <w:rsid w:val="00E52CCE"/>
    <w:rsid w:val="00E52F76"/>
    <w:rsid w:val="00E5315C"/>
    <w:rsid w:val="00E5376A"/>
    <w:rsid w:val="00E538E0"/>
    <w:rsid w:val="00E5445C"/>
    <w:rsid w:val="00E548A8"/>
    <w:rsid w:val="00E54AB0"/>
    <w:rsid w:val="00E54D33"/>
    <w:rsid w:val="00E552FA"/>
    <w:rsid w:val="00E55BCA"/>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5C04"/>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4FB"/>
    <w:rsid w:val="00EA1A7A"/>
    <w:rsid w:val="00EA1B4A"/>
    <w:rsid w:val="00EA21F0"/>
    <w:rsid w:val="00EA2271"/>
    <w:rsid w:val="00EA2730"/>
    <w:rsid w:val="00EA33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117E"/>
    <w:rsid w:val="00EC183D"/>
    <w:rsid w:val="00EC1D83"/>
    <w:rsid w:val="00EC2106"/>
    <w:rsid w:val="00EC2170"/>
    <w:rsid w:val="00EC265B"/>
    <w:rsid w:val="00EC2E21"/>
    <w:rsid w:val="00EC331F"/>
    <w:rsid w:val="00EC36DD"/>
    <w:rsid w:val="00EC3780"/>
    <w:rsid w:val="00EC3826"/>
    <w:rsid w:val="00EC382E"/>
    <w:rsid w:val="00EC4D77"/>
    <w:rsid w:val="00EC4D7B"/>
    <w:rsid w:val="00EC4E2E"/>
    <w:rsid w:val="00EC4F9A"/>
    <w:rsid w:val="00EC4FFF"/>
    <w:rsid w:val="00EC555C"/>
    <w:rsid w:val="00EC5A0B"/>
    <w:rsid w:val="00EC5A47"/>
    <w:rsid w:val="00EC5F1A"/>
    <w:rsid w:val="00EC5FB2"/>
    <w:rsid w:val="00EC6337"/>
    <w:rsid w:val="00EC6488"/>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1C"/>
    <w:rsid w:val="00F124CB"/>
    <w:rsid w:val="00F1273F"/>
    <w:rsid w:val="00F12B3D"/>
    <w:rsid w:val="00F12D63"/>
    <w:rsid w:val="00F1371E"/>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7F6"/>
    <w:rsid w:val="00FC7F93"/>
    <w:rsid w:val="00FD0C1D"/>
    <w:rsid w:val="00FD0C32"/>
    <w:rsid w:val="00FD0F65"/>
    <w:rsid w:val="00FD10D2"/>
    <w:rsid w:val="00FD111E"/>
    <w:rsid w:val="00FD1401"/>
    <w:rsid w:val="00FD1433"/>
    <w:rsid w:val="00FD14E4"/>
    <w:rsid w:val="00FD2804"/>
    <w:rsid w:val="00FD282A"/>
    <w:rsid w:val="00FD2A71"/>
    <w:rsid w:val="00FD330C"/>
    <w:rsid w:val="00FD3905"/>
    <w:rsid w:val="00FD4620"/>
    <w:rsid w:val="00FD48FE"/>
    <w:rsid w:val="00FD4CC0"/>
    <w:rsid w:val="00FD5E11"/>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471A"/>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바탕"/>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바탕"/>
      <w:lang w:val="en-GB"/>
    </w:rPr>
  </w:style>
  <w:style w:type="character" w:customStyle="1" w:styleId="ListParagraphChar">
    <w:name w:val="List Paragraph Char"/>
    <w:aliases w:val="- Bullets Char,列出段落 Char,Lista1 Char,?? ?? Char,????? Char,???? Char,リスト段落 Char,목록 단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바탕"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바탕" w:hAnsi="Times"/>
      <w:lang w:val="en-US"/>
    </w:rPr>
  </w:style>
  <w:style w:type="character" w:customStyle="1" w:styleId="RAN1bullet1Char">
    <w:name w:val="RAN1 bullet1 Char"/>
    <w:link w:val="RAN1bullet1"/>
    <w:rsid w:val="002C1633"/>
    <w:rPr>
      <w:rFonts w:ascii="Times" w:eastAsia="바탕" w:hAnsi="Times"/>
      <w:szCs w:val="24"/>
      <w:lang w:val="en-GB" w:eastAsia="x-none"/>
    </w:rPr>
  </w:style>
  <w:style w:type="character" w:customStyle="1" w:styleId="RAN1bullet2Char">
    <w:name w:val="RAN1 bullet2 Char"/>
    <w:link w:val="RAN1bullet2"/>
    <w:rsid w:val="002C1633"/>
    <w:rPr>
      <w:rFonts w:ascii="Times" w:eastAsia="바탕"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바탕"/>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바탕"/>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5.xml><?xml version="1.0" encoding="utf-8"?>
<ds:datastoreItem xmlns:ds="http://schemas.openxmlformats.org/officeDocument/2006/customXml" ds:itemID="{5786AE5E-76A4-44F3-A95F-20D6CD86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3696</Words>
  <Characters>18201</Characters>
  <Application>Microsoft Office Word</Application>
  <DocSecurity>0</DocSecurity>
  <Lines>259</Lines>
  <Paragraphs>109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Yongjun</cp:lastModifiedBy>
  <cp:revision>7</cp:revision>
  <cp:lastPrinted>2011-11-09T22:49:00Z</cp:lastPrinted>
  <dcterms:created xsi:type="dcterms:W3CDTF">2019-02-15T17:31:00Z</dcterms:created>
  <dcterms:modified xsi:type="dcterms:W3CDTF">2019-02-16T05:07:00Z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ef54185b-6783-4831-9a54-367c40590089</vt:lpwstr>
  </property>
  <property fmtid="{D5CDD505-2E9C-101B-9397-08002B2CF9AE}" pid="6" name="CTP_TimeStamp">
    <vt:lpwstr>2019-02-16 05:07:37Z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